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EDA6F" w14:textId="4A65C74C" w:rsidR="00492106" w:rsidRPr="00492106" w:rsidRDefault="00492106" w:rsidP="00492106">
      <w:pPr>
        <w:spacing w:after="0" w:line="240" w:lineRule="auto"/>
        <w:jc w:val="center"/>
        <w:rPr>
          <w:rFonts w:ascii="Arial" w:hAnsi="Arial" w:cs="Arial"/>
          <w:b/>
          <w:bCs/>
          <w:sz w:val="24"/>
          <w:szCs w:val="24"/>
        </w:rPr>
      </w:pPr>
      <w:r w:rsidRPr="00492106">
        <w:rPr>
          <w:rFonts w:ascii="Arial" w:hAnsi="Arial" w:cs="Arial"/>
          <w:b/>
          <w:bCs/>
          <w:sz w:val="24"/>
          <w:szCs w:val="24"/>
        </w:rPr>
        <w:t xml:space="preserve">Analysis of Stunting Handling Indicators Based on SSGI 2022 Data </w:t>
      </w:r>
    </w:p>
    <w:p w14:paraId="5B4EBE32" w14:textId="4FE8FD11" w:rsidR="00492106" w:rsidRPr="00492106" w:rsidRDefault="00492106" w:rsidP="00492106">
      <w:pPr>
        <w:spacing w:after="0" w:line="240" w:lineRule="auto"/>
        <w:jc w:val="center"/>
        <w:rPr>
          <w:rFonts w:ascii="Arial" w:hAnsi="Arial" w:cs="Arial"/>
          <w:b/>
          <w:bCs/>
          <w:sz w:val="24"/>
          <w:szCs w:val="24"/>
          <w:lang w:val="en-ID" w:eastAsia="zh-CN"/>
        </w:rPr>
      </w:pPr>
      <w:r w:rsidRPr="00492106">
        <w:rPr>
          <w:rFonts w:ascii="Arial" w:hAnsi="Arial" w:cs="Arial"/>
          <w:b/>
          <w:bCs/>
          <w:sz w:val="24"/>
          <w:szCs w:val="24"/>
        </w:rPr>
        <w:t>In Lampung Province</w:t>
      </w:r>
      <w:r w:rsidR="00EC7C7C">
        <w:rPr>
          <w:rFonts w:ascii="Arial" w:hAnsi="Arial" w:cs="Arial"/>
          <w:b/>
          <w:bCs/>
          <w:sz w:val="24"/>
          <w:szCs w:val="24"/>
        </w:rPr>
        <w:t xml:space="preserve"> : Multilevel Analysis</w:t>
      </w:r>
      <w:r w:rsidRPr="00492106">
        <w:rPr>
          <w:rFonts w:ascii="Arial" w:hAnsi="Arial" w:cs="Arial"/>
          <w:b/>
          <w:bCs/>
          <w:sz w:val="24"/>
          <w:szCs w:val="24"/>
        </w:rPr>
        <w:t xml:space="preserve"> </w:t>
      </w:r>
    </w:p>
    <w:p w14:paraId="292ECF60" w14:textId="77777777" w:rsidR="00EA1195" w:rsidRPr="00492106" w:rsidRDefault="00EA1195" w:rsidP="009239E3">
      <w:pPr>
        <w:spacing w:line="240" w:lineRule="auto"/>
        <w:jc w:val="center"/>
        <w:rPr>
          <w:rFonts w:ascii="Arial" w:hAnsi="Arial" w:cs="Arial"/>
          <w:color w:val="000000" w:themeColor="text1"/>
          <w:sz w:val="20"/>
          <w:lang w:val="en-ID"/>
        </w:rPr>
      </w:pPr>
    </w:p>
    <w:p w14:paraId="16CA1E72" w14:textId="77777777" w:rsidR="00492106" w:rsidRPr="00492106" w:rsidRDefault="00492106" w:rsidP="00492106">
      <w:pPr>
        <w:jc w:val="center"/>
        <w:rPr>
          <w:rFonts w:ascii="Arial" w:hAnsi="Arial" w:cs="Arial"/>
          <w:sz w:val="20"/>
          <w:szCs w:val="20"/>
          <w:vertAlign w:val="superscript"/>
        </w:rPr>
      </w:pPr>
      <w:r w:rsidRPr="00492106">
        <w:rPr>
          <w:rFonts w:ascii="Arial" w:hAnsi="Arial" w:cs="Arial"/>
          <w:sz w:val="20"/>
          <w:szCs w:val="20"/>
        </w:rPr>
        <w:t>Sakha Ukta Betania</w:t>
      </w:r>
      <w:r w:rsidRPr="00492106">
        <w:rPr>
          <w:rFonts w:ascii="Arial" w:hAnsi="Arial" w:cs="Arial"/>
          <w:sz w:val="20"/>
          <w:szCs w:val="20"/>
          <w:vertAlign w:val="superscript"/>
        </w:rPr>
        <w:t>1*</w:t>
      </w:r>
      <w:r w:rsidRPr="00492106">
        <w:rPr>
          <w:rFonts w:ascii="Arial" w:hAnsi="Arial" w:cs="Arial"/>
          <w:sz w:val="20"/>
          <w:szCs w:val="20"/>
        </w:rPr>
        <w:t>, Budiyanti Wiboworini</w:t>
      </w:r>
      <w:r w:rsidRPr="00492106">
        <w:rPr>
          <w:rFonts w:ascii="Arial" w:hAnsi="Arial" w:cs="Arial"/>
          <w:sz w:val="20"/>
          <w:szCs w:val="20"/>
          <w:vertAlign w:val="superscript"/>
        </w:rPr>
        <w:t>2</w:t>
      </w:r>
      <w:r w:rsidRPr="00492106">
        <w:rPr>
          <w:rFonts w:ascii="Arial" w:hAnsi="Arial" w:cs="Arial"/>
          <w:sz w:val="20"/>
          <w:szCs w:val="20"/>
        </w:rPr>
        <w:t>, Isna Qadrijati</w:t>
      </w:r>
      <w:r w:rsidRPr="00492106">
        <w:rPr>
          <w:rFonts w:ascii="Arial" w:hAnsi="Arial" w:cs="Arial"/>
          <w:sz w:val="20"/>
          <w:szCs w:val="20"/>
          <w:vertAlign w:val="superscript"/>
        </w:rPr>
        <w:t>3</w:t>
      </w:r>
    </w:p>
    <w:p w14:paraId="50893F31" w14:textId="79A17AFC" w:rsidR="00FF7BA9" w:rsidRPr="00492106" w:rsidRDefault="00FF7BA9" w:rsidP="00FF7BA9">
      <w:pPr>
        <w:spacing w:after="0" w:line="240" w:lineRule="auto"/>
        <w:jc w:val="center"/>
        <w:rPr>
          <w:rFonts w:ascii="Arial" w:hAnsi="Arial" w:cs="Arial"/>
          <w:sz w:val="20"/>
          <w:szCs w:val="20"/>
          <w:lang w:val="en-US"/>
        </w:rPr>
      </w:pPr>
      <w:r w:rsidRPr="00492106">
        <w:rPr>
          <w:rFonts w:ascii="Arial" w:hAnsi="Arial" w:cs="Arial"/>
          <w:color w:val="000000" w:themeColor="text1"/>
          <w:sz w:val="20"/>
          <w:szCs w:val="20"/>
          <w:vertAlign w:val="superscript"/>
          <w:lang w:val="en-US"/>
        </w:rPr>
        <w:t>1</w:t>
      </w:r>
      <w:r w:rsidR="00492106" w:rsidRPr="00492106">
        <w:rPr>
          <w:rFonts w:ascii="Arial" w:hAnsi="Arial" w:cs="Arial"/>
          <w:sz w:val="20"/>
          <w:szCs w:val="20"/>
        </w:rPr>
        <w:t xml:space="preserve"> Master Program of Nutrition</w:t>
      </w:r>
      <w:r w:rsidR="00997DA6">
        <w:rPr>
          <w:rFonts w:ascii="Arial" w:hAnsi="Arial" w:cs="Arial"/>
          <w:sz w:val="20"/>
          <w:szCs w:val="20"/>
        </w:rPr>
        <w:t>al</w:t>
      </w:r>
      <w:r w:rsidR="00492106" w:rsidRPr="00492106">
        <w:rPr>
          <w:rFonts w:ascii="Arial" w:hAnsi="Arial" w:cs="Arial"/>
          <w:sz w:val="20"/>
          <w:szCs w:val="20"/>
        </w:rPr>
        <w:t xml:space="preserve"> Sciences</w:t>
      </w:r>
      <w:r w:rsidRPr="00492106">
        <w:rPr>
          <w:rFonts w:ascii="Arial" w:hAnsi="Arial" w:cs="Arial"/>
          <w:sz w:val="20"/>
          <w:szCs w:val="20"/>
          <w:lang w:val="en-US"/>
        </w:rPr>
        <w:t xml:space="preserve">, </w:t>
      </w:r>
      <w:r w:rsidR="0006619B">
        <w:rPr>
          <w:rFonts w:ascii="Arial" w:hAnsi="Arial" w:cs="Arial"/>
          <w:sz w:val="20"/>
          <w:szCs w:val="20"/>
          <w:lang w:val="en-US"/>
        </w:rPr>
        <w:t>G</w:t>
      </w:r>
      <w:r w:rsidR="00492106" w:rsidRPr="00492106">
        <w:rPr>
          <w:rFonts w:ascii="Arial" w:hAnsi="Arial" w:cs="Arial"/>
          <w:sz w:val="20"/>
          <w:szCs w:val="20"/>
        </w:rPr>
        <w:t>raduate School</w:t>
      </w:r>
      <w:r w:rsidRPr="00492106">
        <w:rPr>
          <w:rFonts w:ascii="Arial" w:hAnsi="Arial" w:cs="Arial"/>
          <w:sz w:val="20"/>
          <w:szCs w:val="20"/>
          <w:lang w:val="en-US"/>
        </w:rPr>
        <w:t xml:space="preserve">, </w:t>
      </w:r>
      <w:r w:rsidR="0006619B">
        <w:rPr>
          <w:rFonts w:ascii="Arial" w:hAnsi="Arial" w:cs="Arial"/>
          <w:sz w:val="20"/>
          <w:szCs w:val="20"/>
          <w:lang w:val="en-US"/>
        </w:rPr>
        <w:t xml:space="preserve">Universitas </w:t>
      </w:r>
      <w:r w:rsidR="00492106" w:rsidRPr="00492106">
        <w:rPr>
          <w:rFonts w:ascii="Arial" w:hAnsi="Arial" w:cs="Arial"/>
          <w:sz w:val="20"/>
          <w:szCs w:val="20"/>
        </w:rPr>
        <w:t>Sebelas Maret</w:t>
      </w:r>
      <w:r w:rsidRPr="00492106">
        <w:rPr>
          <w:rFonts w:ascii="Arial" w:hAnsi="Arial" w:cs="Arial"/>
          <w:sz w:val="20"/>
          <w:szCs w:val="20"/>
          <w:lang w:val="en-US"/>
        </w:rPr>
        <w:t xml:space="preserve">, </w:t>
      </w:r>
      <w:r w:rsidR="00492106" w:rsidRPr="00492106">
        <w:rPr>
          <w:rStyle w:val="Emphasis"/>
          <w:rFonts w:ascii="Arial" w:hAnsi="Arial" w:cs="Arial"/>
          <w:i w:val="0"/>
          <w:iCs w:val="0"/>
          <w:sz w:val="20"/>
          <w:szCs w:val="20"/>
          <w:shd w:val="clear" w:color="auto" w:fill="FFFFFF"/>
        </w:rPr>
        <w:t>Jl</w:t>
      </w:r>
      <w:r w:rsidR="00492106" w:rsidRPr="00492106">
        <w:rPr>
          <w:rFonts w:ascii="Arial" w:hAnsi="Arial" w:cs="Arial"/>
          <w:sz w:val="20"/>
          <w:szCs w:val="20"/>
          <w:shd w:val="clear" w:color="auto" w:fill="FFFFFF"/>
        </w:rPr>
        <w:t>. </w:t>
      </w:r>
      <w:r w:rsidR="00492106" w:rsidRPr="00492106">
        <w:rPr>
          <w:rStyle w:val="Emphasis"/>
          <w:rFonts w:ascii="Arial" w:hAnsi="Arial" w:cs="Arial"/>
          <w:i w:val="0"/>
          <w:iCs w:val="0"/>
          <w:sz w:val="20"/>
          <w:szCs w:val="20"/>
          <w:shd w:val="clear" w:color="auto" w:fill="FFFFFF"/>
        </w:rPr>
        <w:t>Ir</w:t>
      </w:r>
      <w:r w:rsidR="00492106" w:rsidRPr="00492106">
        <w:rPr>
          <w:rFonts w:ascii="Arial" w:hAnsi="Arial" w:cs="Arial"/>
          <w:sz w:val="20"/>
          <w:szCs w:val="20"/>
          <w:shd w:val="clear" w:color="auto" w:fill="FFFFFF"/>
        </w:rPr>
        <w:t>. </w:t>
      </w:r>
      <w:r w:rsidR="00492106" w:rsidRPr="00492106">
        <w:rPr>
          <w:rStyle w:val="Emphasis"/>
          <w:rFonts w:ascii="Arial" w:hAnsi="Arial" w:cs="Arial"/>
          <w:i w:val="0"/>
          <w:iCs w:val="0"/>
          <w:sz w:val="20"/>
          <w:szCs w:val="20"/>
          <w:shd w:val="clear" w:color="auto" w:fill="FFFFFF"/>
        </w:rPr>
        <w:t>Sutami</w:t>
      </w:r>
      <w:r w:rsidR="00492106" w:rsidRPr="00492106">
        <w:rPr>
          <w:rFonts w:ascii="Arial" w:hAnsi="Arial" w:cs="Arial"/>
          <w:sz w:val="20"/>
          <w:szCs w:val="20"/>
          <w:shd w:val="clear" w:color="auto" w:fill="FFFFFF"/>
        </w:rPr>
        <w:t> No. 36, Surakarta</w:t>
      </w:r>
    </w:p>
    <w:p w14:paraId="3C4A1D7B" w14:textId="3EB5831F" w:rsidR="00FF7BA9" w:rsidRPr="00492106" w:rsidRDefault="00492106" w:rsidP="00FF7BA9">
      <w:pPr>
        <w:spacing w:after="0" w:line="240" w:lineRule="auto"/>
        <w:ind w:right="146"/>
        <w:jc w:val="center"/>
        <w:rPr>
          <w:rFonts w:ascii="Arial" w:hAnsi="Arial" w:cs="Arial"/>
          <w:color w:val="000000" w:themeColor="text1"/>
          <w:sz w:val="20"/>
          <w:szCs w:val="20"/>
          <w:lang w:val="en-US"/>
        </w:rPr>
      </w:pPr>
      <w:r>
        <w:rPr>
          <w:rFonts w:ascii="Arial" w:hAnsi="Arial" w:cs="Arial"/>
          <w:sz w:val="20"/>
          <w:szCs w:val="20"/>
          <w:vertAlign w:val="superscript"/>
        </w:rPr>
        <w:t xml:space="preserve">2 </w:t>
      </w:r>
      <w:r w:rsidRPr="00492106">
        <w:rPr>
          <w:rFonts w:ascii="Arial" w:hAnsi="Arial" w:cs="Arial"/>
          <w:sz w:val="20"/>
          <w:szCs w:val="20"/>
        </w:rPr>
        <w:t>Master Program of Nutrition</w:t>
      </w:r>
      <w:r w:rsidR="00997DA6">
        <w:rPr>
          <w:rFonts w:ascii="Arial" w:hAnsi="Arial" w:cs="Arial"/>
          <w:sz w:val="20"/>
          <w:szCs w:val="20"/>
        </w:rPr>
        <w:t>al</w:t>
      </w:r>
      <w:r w:rsidRPr="00492106">
        <w:rPr>
          <w:rFonts w:ascii="Arial" w:hAnsi="Arial" w:cs="Arial"/>
          <w:sz w:val="20"/>
          <w:szCs w:val="20"/>
        </w:rPr>
        <w:t xml:space="preserve"> Sciences</w:t>
      </w:r>
      <w:r w:rsidRPr="00492106">
        <w:rPr>
          <w:rFonts w:ascii="Arial" w:hAnsi="Arial" w:cs="Arial"/>
          <w:color w:val="000000" w:themeColor="text1"/>
          <w:sz w:val="20"/>
          <w:szCs w:val="20"/>
          <w:lang w:val="en-US"/>
        </w:rPr>
        <w:t xml:space="preserve">, </w:t>
      </w:r>
      <w:r w:rsidR="0006619B">
        <w:rPr>
          <w:rFonts w:ascii="Arial" w:hAnsi="Arial" w:cs="Arial"/>
          <w:sz w:val="20"/>
          <w:szCs w:val="20"/>
        </w:rPr>
        <w:t>G</w:t>
      </w:r>
      <w:r w:rsidRPr="00492106">
        <w:rPr>
          <w:rFonts w:ascii="Arial" w:hAnsi="Arial" w:cs="Arial"/>
          <w:sz w:val="20"/>
          <w:szCs w:val="20"/>
        </w:rPr>
        <w:t>raduate School</w:t>
      </w:r>
      <w:r w:rsidRPr="00492106">
        <w:rPr>
          <w:rFonts w:ascii="Arial" w:hAnsi="Arial" w:cs="Arial"/>
          <w:color w:val="000000" w:themeColor="text1"/>
          <w:sz w:val="20"/>
          <w:szCs w:val="20"/>
          <w:lang w:val="en-US"/>
        </w:rPr>
        <w:t xml:space="preserve">, </w:t>
      </w:r>
      <w:r w:rsidR="0006619B">
        <w:rPr>
          <w:rFonts w:ascii="Arial" w:hAnsi="Arial" w:cs="Arial"/>
          <w:sz w:val="20"/>
          <w:szCs w:val="20"/>
          <w:lang w:val="en-US"/>
        </w:rPr>
        <w:t xml:space="preserve">Universitas </w:t>
      </w:r>
      <w:r w:rsidR="0006619B" w:rsidRPr="00492106">
        <w:rPr>
          <w:rFonts w:ascii="Arial" w:hAnsi="Arial" w:cs="Arial"/>
          <w:sz w:val="20"/>
          <w:szCs w:val="20"/>
        </w:rPr>
        <w:t>Sebelas Maret</w:t>
      </w:r>
      <w:r w:rsidR="0006619B" w:rsidRPr="00492106">
        <w:rPr>
          <w:rFonts w:ascii="Arial" w:hAnsi="Arial" w:cs="Arial"/>
          <w:sz w:val="20"/>
          <w:szCs w:val="20"/>
          <w:lang w:val="en-US"/>
        </w:rPr>
        <w:t xml:space="preserve">, </w:t>
      </w:r>
      <w:r w:rsidRPr="00492106">
        <w:rPr>
          <w:rStyle w:val="Emphasis"/>
          <w:rFonts w:ascii="Arial" w:hAnsi="Arial" w:cs="Arial"/>
          <w:i w:val="0"/>
          <w:iCs w:val="0"/>
          <w:sz w:val="20"/>
          <w:szCs w:val="20"/>
          <w:shd w:val="clear" w:color="auto" w:fill="FFFFFF"/>
        </w:rPr>
        <w:t>Jl</w:t>
      </w:r>
      <w:r w:rsidRPr="00492106">
        <w:rPr>
          <w:rFonts w:ascii="Arial" w:hAnsi="Arial" w:cs="Arial"/>
          <w:sz w:val="20"/>
          <w:szCs w:val="20"/>
          <w:shd w:val="clear" w:color="auto" w:fill="FFFFFF"/>
        </w:rPr>
        <w:t>. </w:t>
      </w:r>
      <w:r w:rsidRPr="00492106">
        <w:rPr>
          <w:rStyle w:val="Emphasis"/>
          <w:rFonts w:ascii="Arial" w:hAnsi="Arial" w:cs="Arial"/>
          <w:i w:val="0"/>
          <w:iCs w:val="0"/>
          <w:sz w:val="20"/>
          <w:szCs w:val="20"/>
          <w:shd w:val="clear" w:color="auto" w:fill="FFFFFF"/>
        </w:rPr>
        <w:t>Ir</w:t>
      </w:r>
      <w:r w:rsidRPr="00492106">
        <w:rPr>
          <w:rFonts w:ascii="Arial" w:hAnsi="Arial" w:cs="Arial"/>
          <w:sz w:val="20"/>
          <w:szCs w:val="20"/>
          <w:shd w:val="clear" w:color="auto" w:fill="FFFFFF"/>
        </w:rPr>
        <w:t>. </w:t>
      </w:r>
      <w:r w:rsidRPr="00492106">
        <w:rPr>
          <w:rStyle w:val="Emphasis"/>
          <w:rFonts w:ascii="Arial" w:hAnsi="Arial" w:cs="Arial"/>
          <w:i w:val="0"/>
          <w:iCs w:val="0"/>
          <w:sz w:val="20"/>
          <w:szCs w:val="20"/>
          <w:shd w:val="clear" w:color="auto" w:fill="FFFFFF"/>
        </w:rPr>
        <w:t>Sutami</w:t>
      </w:r>
      <w:r w:rsidRPr="00492106">
        <w:rPr>
          <w:rFonts w:ascii="Arial" w:hAnsi="Arial" w:cs="Arial"/>
          <w:sz w:val="20"/>
          <w:szCs w:val="20"/>
          <w:shd w:val="clear" w:color="auto" w:fill="FFFFFF"/>
        </w:rPr>
        <w:t> No. 36, Surakarta</w:t>
      </w:r>
    </w:p>
    <w:p w14:paraId="0259D9FE" w14:textId="37418B20" w:rsidR="00EA1195" w:rsidRPr="00492106" w:rsidRDefault="00EA1195" w:rsidP="00FF7BA9">
      <w:pPr>
        <w:spacing w:after="0" w:line="240" w:lineRule="auto"/>
        <w:ind w:right="146"/>
        <w:jc w:val="center"/>
        <w:rPr>
          <w:rFonts w:ascii="Arial" w:hAnsi="Arial" w:cs="Arial"/>
          <w:color w:val="000000" w:themeColor="text1"/>
          <w:sz w:val="20"/>
          <w:szCs w:val="20"/>
          <w:lang w:val="en-US"/>
        </w:rPr>
      </w:pPr>
      <w:r w:rsidRPr="0058721E">
        <w:rPr>
          <w:rFonts w:ascii="Arial" w:hAnsi="Arial" w:cs="Arial"/>
          <w:color w:val="000000" w:themeColor="text1"/>
          <w:sz w:val="20"/>
          <w:szCs w:val="20"/>
          <w:vertAlign w:val="superscript"/>
          <w:lang w:val="en-US"/>
        </w:rPr>
        <w:t>3</w:t>
      </w:r>
      <w:r w:rsidR="00492106" w:rsidRPr="0058721E">
        <w:rPr>
          <w:rFonts w:ascii="Arial" w:hAnsi="Arial" w:cs="Arial"/>
          <w:sz w:val="20"/>
          <w:szCs w:val="20"/>
        </w:rPr>
        <w:t xml:space="preserve"> D-IV Program of </w:t>
      </w:r>
      <w:r w:rsidR="00492106" w:rsidRPr="0058721E">
        <w:rPr>
          <w:rFonts w:ascii="Arial" w:hAnsi="Arial" w:cs="Arial"/>
          <w:sz w:val="20"/>
          <w:szCs w:val="20"/>
          <w:shd w:val="clear" w:color="auto" w:fill="FFFFFF"/>
        </w:rPr>
        <w:t xml:space="preserve">Occupational Health and Safety, </w:t>
      </w:r>
      <w:r w:rsidR="00492106" w:rsidRPr="0058721E">
        <w:rPr>
          <w:rFonts w:ascii="Arial" w:hAnsi="Arial" w:cs="Arial"/>
          <w:sz w:val="20"/>
          <w:szCs w:val="20"/>
        </w:rPr>
        <w:t>Vocational School</w:t>
      </w:r>
      <w:r w:rsidR="00492106" w:rsidRPr="0058721E">
        <w:rPr>
          <w:rFonts w:ascii="Arial" w:hAnsi="Arial" w:cs="Arial"/>
          <w:sz w:val="20"/>
          <w:szCs w:val="20"/>
          <w:shd w:val="clear" w:color="auto" w:fill="FFFFFF"/>
        </w:rPr>
        <w:t xml:space="preserve">, </w:t>
      </w:r>
      <w:r w:rsidR="0006619B" w:rsidRPr="0058721E">
        <w:rPr>
          <w:rFonts w:ascii="Arial" w:hAnsi="Arial" w:cs="Arial"/>
          <w:sz w:val="20"/>
          <w:szCs w:val="20"/>
          <w:lang w:val="en-US"/>
        </w:rPr>
        <w:t xml:space="preserve">Universitas </w:t>
      </w:r>
      <w:r w:rsidR="0006619B" w:rsidRPr="0058721E">
        <w:rPr>
          <w:rFonts w:ascii="Arial" w:hAnsi="Arial" w:cs="Arial"/>
          <w:sz w:val="20"/>
          <w:szCs w:val="20"/>
        </w:rPr>
        <w:t xml:space="preserve">Sebelas </w:t>
      </w:r>
      <w:r w:rsidR="0006619B" w:rsidRPr="00492106">
        <w:rPr>
          <w:rFonts w:ascii="Arial" w:hAnsi="Arial" w:cs="Arial"/>
          <w:sz w:val="20"/>
          <w:szCs w:val="20"/>
        </w:rPr>
        <w:t>Maret</w:t>
      </w:r>
      <w:r w:rsidR="0006619B" w:rsidRPr="00492106">
        <w:rPr>
          <w:rFonts w:ascii="Arial" w:hAnsi="Arial" w:cs="Arial"/>
          <w:sz w:val="20"/>
          <w:szCs w:val="20"/>
          <w:lang w:val="en-US"/>
        </w:rPr>
        <w:t xml:space="preserve">, </w:t>
      </w:r>
      <w:r w:rsidR="00492106" w:rsidRPr="00492106">
        <w:rPr>
          <w:rStyle w:val="Emphasis"/>
          <w:rFonts w:ascii="Arial" w:hAnsi="Arial" w:cs="Arial"/>
          <w:i w:val="0"/>
          <w:iCs w:val="0"/>
          <w:sz w:val="20"/>
          <w:szCs w:val="20"/>
          <w:shd w:val="clear" w:color="auto" w:fill="FFFFFF"/>
        </w:rPr>
        <w:t>Jl</w:t>
      </w:r>
      <w:r w:rsidR="00492106" w:rsidRPr="00492106">
        <w:rPr>
          <w:rFonts w:ascii="Arial" w:hAnsi="Arial" w:cs="Arial"/>
          <w:sz w:val="20"/>
          <w:szCs w:val="20"/>
          <w:shd w:val="clear" w:color="auto" w:fill="FFFFFF"/>
        </w:rPr>
        <w:t>. </w:t>
      </w:r>
      <w:r w:rsidR="00492106" w:rsidRPr="00492106">
        <w:rPr>
          <w:rStyle w:val="Emphasis"/>
          <w:rFonts w:ascii="Arial" w:hAnsi="Arial" w:cs="Arial"/>
          <w:i w:val="0"/>
          <w:iCs w:val="0"/>
          <w:sz w:val="20"/>
          <w:szCs w:val="20"/>
          <w:shd w:val="clear" w:color="auto" w:fill="FFFFFF"/>
        </w:rPr>
        <w:t>Ir</w:t>
      </w:r>
      <w:r w:rsidR="00492106" w:rsidRPr="00492106">
        <w:rPr>
          <w:rFonts w:ascii="Arial" w:hAnsi="Arial" w:cs="Arial"/>
          <w:sz w:val="20"/>
          <w:szCs w:val="20"/>
          <w:shd w:val="clear" w:color="auto" w:fill="FFFFFF"/>
        </w:rPr>
        <w:t>. </w:t>
      </w:r>
      <w:r w:rsidR="00492106" w:rsidRPr="00492106">
        <w:rPr>
          <w:rStyle w:val="Emphasis"/>
          <w:rFonts w:ascii="Arial" w:hAnsi="Arial" w:cs="Arial"/>
          <w:i w:val="0"/>
          <w:iCs w:val="0"/>
          <w:sz w:val="20"/>
          <w:szCs w:val="20"/>
          <w:shd w:val="clear" w:color="auto" w:fill="FFFFFF"/>
        </w:rPr>
        <w:t>Sutami</w:t>
      </w:r>
      <w:r w:rsidR="00492106" w:rsidRPr="00492106">
        <w:rPr>
          <w:rFonts w:ascii="Arial" w:hAnsi="Arial" w:cs="Arial"/>
          <w:sz w:val="20"/>
          <w:szCs w:val="20"/>
          <w:shd w:val="clear" w:color="auto" w:fill="FFFFFF"/>
        </w:rPr>
        <w:t> No. 36, Surakarta</w:t>
      </w:r>
    </w:p>
    <w:p w14:paraId="4C0CA4BD" w14:textId="77777777" w:rsidR="00EA1195" w:rsidRPr="00D21735" w:rsidRDefault="00EA1195" w:rsidP="00FF7BA9">
      <w:pPr>
        <w:spacing w:after="0" w:line="240" w:lineRule="auto"/>
        <w:ind w:right="146"/>
        <w:jc w:val="center"/>
        <w:rPr>
          <w:rFonts w:ascii="Arial" w:hAnsi="Arial" w:cs="Arial"/>
          <w:color w:val="000000" w:themeColor="text1"/>
          <w:sz w:val="20"/>
        </w:rPr>
      </w:pPr>
    </w:p>
    <w:p w14:paraId="69F19F1D" w14:textId="0E56BAE5" w:rsidR="00492106" w:rsidRDefault="00D67523" w:rsidP="00492106">
      <w:pPr>
        <w:pStyle w:val="NormalWeb"/>
        <w:spacing w:before="0" w:beforeAutospacing="0" w:after="0" w:afterAutospacing="0"/>
        <w:jc w:val="center"/>
        <w:textAlignment w:val="baseline"/>
        <w:rPr>
          <w:rFonts w:asciiTheme="majorHAnsi" w:hAnsiTheme="majorHAnsi" w:cstheme="majorHAnsi"/>
          <w:sz w:val="18"/>
          <w:szCs w:val="18"/>
          <w:lang w:val="id-ID"/>
        </w:rPr>
      </w:pPr>
      <w:r>
        <w:rPr>
          <w:rFonts w:ascii="Arial" w:hAnsi="Arial" w:cs="Arial"/>
          <w:i/>
          <w:color w:val="000000" w:themeColor="text1"/>
          <w:sz w:val="20"/>
        </w:rPr>
        <w:t>*</w:t>
      </w:r>
      <w:r w:rsidR="00C40843" w:rsidRPr="00C40843">
        <w:rPr>
          <w:rFonts w:ascii="Arial" w:hAnsi="Arial" w:cs="Arial"/>
          <w:i/>
          <w:color w:val="000000" w:themeColor="text1"/>
          <w:sz w:val="20"/>
        </w:rPr>
        <w:t>Corresponding autho</w:t>
      </w:r>
      <w:r w:rsidR="00C40843" w:rsidRPr="00492106">
        <w:rPr>
          <w:rFonts w:ascii="Arial" w:hAnsi="Arial" w:cs="Arial"/>
          <w:i/>
          <w:color w:val="000000" w:themeColor="text1"/>
          <w:sz w:val="20"/>
          <w:szCs w:val="20"/>
        </w:rPr>
        <w:t>r</w:t>
      </w:r>
      <w:r w:rsidR="00C40843" w:rsidRPr="00492106">
        <w:rPr>
          <w:rFonts w:ascii="Arial" w:hAnsi="Arial" w:cs="Arial"/>
          <w:color w:val="000000" w:themeColor="text1"/>
          <w:sz w:val="20"/>
          <w:szCs w:val="20"/>
        </w:rPr>
        <w:t xml:space="preserve">: </w:t>
      </w:r>
      <w:hyperlink r:id="rId6" w:history="1">
        <w:r w:rsidR="000B4998" w:rsidRPr="00660E37">
          <w:rPr>
            <w:rStyle w:val="Hyperlink"/>
            <w:rFonts w:ascii="Arial" w:hAnsi="Arial" w:cs="Arial"/>
            <w:sz w:val="20"/>
            <w:szCs w:val="20"/>
            <w:lang w:val="id-ID"/>
          </w:rPr>
          <w:t>sakhaukta0@gmail.com</w:t>
        </w:r>
      </w:hyperlink>
      <w:r w:rsidR="000B4998">
        <w:rPr>
          <w:rFonts w:ascii="Arial" w:hAnsi="Arial" w:cs="Arial"/>
          <w:sz w:val="20"/>
          <w:szCs w:val="20"/>
          <w:lang w:val="id-ID"/>
        </w:rPr>
        <w:t xml:space="preserve"> </w:t>
      </w:r>
      <w:r w:rsidR="000B4998">
        <w:rPr>
          <w:rFonts w:asciiTheme="majorHAnsi" w:hAnsiTheme="majorHAnsi" w:cstheme="majorHAnsi"/>
          <w:sz w:val="18"/>
          <w:szCs w:val="18"/>
          <w:lang w:val="id-ID"/>
        </w:rPr>
        <w:t xml:space="preserve"> </w:t>
      </w:r>
    </w:p>
    <w:p w14:paraId="7BC08121" w14:textId="17479A58" w:rsidR="00EB236B" w:rsidRPr="00D21735" w:rsidRDefault="00EB236B" w:rsidP="00FF7BA9">
      <w:pPr>
        <w:spacing w:after="0" w:line="240" w:lineRule="auto"/>
        <w:ind w:right="146"/>
        <w:jc w:val="center"/>
        <w:rPr>
          <w:rFonts w:ascii="Arial" w:hAnsi="Arial" w:cs="Arial"/>
          <w:color w:val="000000" w:themeColor="text1"/>
          <w:sz w:val="20"/>
        </w:rPr>
      </w:pPr>
    </w:p>
    <w:p w14:paraId="2326D018" w14:textId="30F8E495" w:rsidR="00FF7BA9" w:rsidRPr="00FF7BA9" w:rsidRDefault="006C1FBC" w:rsidP="009239E3">
      <w:pPr>
        <w:spacing w:line="240" w:lineRule="auto"/>
        <w:jc w:val="center"/>
        <w:rPr>
          <w:rFonts w:ascii="Arial" w:hAnsi="Arial" w:cs="Arial"/>
          <w:color w:val="000000" w:themeColor="text1"/>
          <w:vertAlign w:val="superscript"/>
          <w:lang w:val="en-US"/>
        </w:rPr>
      </w:pPr>
      <w:r>
        <w:rPr>
          <w:noProof/>
        </w:rPr>
        <mc:AlternateContent>
          <mc:Choice Requires="wps">
            <w:drawing>
              <wp:anchor distT="0" distB="0" distL="114300" distR="114300" simplePos="0" relativeHeight="251662336" behindDoc="0" locked="0" layoutInCell="1" allowOverlap="1" wp14:anchorId="75FD6327" wp14:editId="2CFF545E">
                <wp:simplePos x="0" y="0"/>
                <wp:positionH relativeFrom="column">
                  <wp:posOffset>0</wp:posOffset>
                </wp:positionH>
                <wp:positionV relativeFrom="paragraph">
                  <wp:posOffset>48126</wp:posOffset>
                </wp:positionV>
                <wp:extent cx="537337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ln>
                      </wps:spPr>
                      <wps:bodyPr/>
                    </wps:wsp>
                  </a:graphicData>
                </a:graphic>
              </wp:anchor>
            </w:drawing>
          </mc:Choice>
          <mc:Fallback>
            <w:pict>
              <v:shapetype w14:anchorId="607984A4" id="_x0000_t32" coordsize="21600,21600" o:spt="32" o:oned="t" path="m,l21600,21600e" filled="f">
                <v:path arrowok="t" fillok="f" o:connecttype="none"/>
                <o:lock v:ext="edit" shapetype="t"/>
              </v:shapetype>
              <v:shape id="Straight Arrow Connector 1" o:spid="_x0000_s1026" type="#_x0000_t32" style="position:absolute;margin-left:0;margin-top:3.8pt;width:423.1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"/>
            </w:pict>
          </mc:Fallback>
        </mc:AlternateContent>
      </w:r>
    </w:p>
    <w:p w14:paraId="2309DAFF" w14:textId="59C41E94" w:rsidR="00EB236B" w:rsidRDefault="00EB236B" w:rsidP="00EB236B">
      <w:pPr>
        <w:spacing w:line="240" w:lineRule="auto"/>
        <w:jc w:val="center"/>
        <w:rPr>
          <w:rFonts w:ascii="Arial" w:hAnsi="Arial" w:cs="Arial"/>
          <w:b/>
          <w:color w:val="000000" w:themeColor="text1"/>
          <w:lang w:val="en-US"/>
        </w:rPr>
      </w:pPr>
      <w:r>
        <w:rPr>
          <w:rFonts w:ascii="Arial" w:hAnsi="Arial" w:cs="Arial"/>
          <w:b/>
          <w:color w:val="000000" w:themeColor="text1"/>
          <w:lang w:val="en-US"/>
        </w:rPr>
        <w:t>ABSTRAK</w:t>
      </w:r>
    </w:p>
    <w:p w14:paraId="2736D8A1" w14:textId="77777777" w:rsidR="00492106" w:rsidRDefault="00492106" w:rsidP="00492106">
      <w:pPr>
        <w:pStyle w:val="NormalWeb"/>
        <w:spacing w:before="0" w:beforeAutospacing="0" w:after="0" w:afterAutospacing="0"/>
        <w:jc w:val="center"/>
        <w:textAlignment w:val="baseline"/>
        <w:outlineLvl w:val="0"/>
        <w:rPr>
          <w:rFonts w:asciiTheme="majorHAnsi" w:eastAsia="MS Mincho" w:hAnsiTheme="majorHAnsi" w:cstheme="majorHAnsi"/>
          <w:b/>
          <w:bCs/>
          <w:i/>
          <w:kern w:val="24"/>
          <w:sz w:val="18"/>
          <w:szCs w:val="18"/>
        </w:rPr>
      </w:pPr>
    </w:p>
    <w:p w14:paraId="7E215A92" w14:textId="77777777" w:rsidR="00492106" w:rsidRPr="00492106" w:rsidRDefault="00492106" w:rsidP="00492106">
      <w:pPr>
        <w:pStyle w:val="NormalWeb"/>
        <w:spacing w:before="0" w:beforeAutospacing="0" w:after="0" w:afterAutospacing="0"/>
        <w:jc w:val="both"/>
        <w:textAlignment w:val="baseline"/>
        <w:rPr>
          <w:rFonts w:ascii="Arial" w:hAnsi="Arial" w:cs="Arial"/>
          <w:i/>
          <w:sz w:val="22"/>
          <w:szCs w:val="22"/>
        </w:rPr>
      </w:pPr>
      <w:r w:rsidRPr="00492106">
        <w:rPr>
          <w:rFonts w:ascii="Arial" w:hAnsi="Arial" w:cs="Arial"/>
          <w:b/>
          <w:i/>
          <w:sz w:val="22"/>
          <w:szCs w:val="22"/>
        </w:rPr>
        <w:t>Latar Belakang:</w:t>
      </w:r>
      <w:r w:rsidRPr="00492106">
        <w:rPr>
          <w:rFonts w:ascii="Arial" w:hAnsi="Arial" w:cs="Arial"/>
          <w:i/>
          <w:sz w:val="22"/>
          <w:szCs w:val="22"/>
        </w:rPr>
        <w:t xml:space="preserve"> </w:t>
      </w:r>
      <w:r w:rsidRPr="00492106">
        <w:rPr>
          <w:rFonts w:ascii="Arial" w:eastAsia="Arial" w:hAnsi="Arial" w:cs="Arial"/>
          <w:i/>
          <w:sz w:val="22"/>
          <w:szCs w:val="22"/>
        </w:rPr>
        <w:t xml:space="preserve">Penerapan intervensi gizi spesifik dan sensitif merupakan upaya yang dilakukan untuk mencegah peningkatan prevalensi stunting di Indonesia. Dalam penerapannya, tidak semua indikator sasaran berjalan dengan optimal, seperti beberapa indikator intervensi gizi di Provinsi Lampung, </w:t>
      </w:r>
      <w:r w:rsidRPr="00492106">
        <w:rPr>
          <w:rFonts w:ascii="Arial" w:hAnsi="Arial" w:cs="Arial"/>
          <w:i/>
          <w:sz w:val="22"/>
          <w:szCs w:val="22"/>
        </w:rPr>
        <w:t xml:space="preserve">yakni riwayat konsumsi TTD selama kehamilan ibu, pemberian ASI eksklusif, pemantauan pertumbuhan balita, imunisasi dasar lengkap, akses air minum, dan akses sanitasi. </w:t>
      </w:r>
    </w:p>
    <w:p w14:paraId="609C9B2F" w14:textId="77777777" w:rsidR="00492106" w:rsidRPr="00492106" w:rsidRDefault="00492106" w:rsidP="00492106">
      <w:pPr>
        <w:pStyle w:val="NormalWeb"/>
        <w:spacing w:before="0" w:beforeAutospacing="0" w:after="0" w:afterAutospacing="0"/>
        <w:jc w:val="both"/>
        <w:textAlignment w:val="baseline"/>
        <w:rPr>
          <w:rFonts w:ascii="Arial" w:eastAsia="Arial" w:hAnsi="Arial" w:cs="Arial"/>
          <w:i/>
          <w:sz w:val="22"/>
          <w:szCs w:val="22"/>
        </w:rPr>
      </w:pPr>
      <w:r w:rsidRPr="00492106">
        <w:rPr>
          <w:rFonts w:ascii="Arial" w:eastAsia="MS Mincho" w:hAnsi="Arial" w:cs="Arial"/>
          <w:b/>
          <w:bCs/>
          <w:i/>
          <w:kern w:val="24"/>
          <w:sz w:val="22"/>
          <w:szCs w:val="22"/>
        </w:rPr>
        <w:t>Tujuan:</w:t>
      </w:r>
      <w:r w:rsidRPr="00492106">
        <w:rPr>
          <w:rFonts w:ascii="Arial" w:eastAsia="MS Mincho" w:hAnsi="Arial" w:cs="Arial"/>
          <w:bCs/>
          <w:i/>
          <w:kern w:val="24"/>
          <w:sz w:val="22"/>
          <w:szCs w:val="22"/>
        </w:rPr>
        <w:t xml:space="preserve"> </w:t>
      </w:r>
      <w:r w:rsidRPr="00492106">
        <w:rPr>
          <w:rFonts w:ascii="Arial" w:hAnsi="Arial" w:cs="Arial"/>
          <w:i/>
          <w:sz w:val="22"/>
          <w:szCs w:val="22"/>
        </w:rPr>
        <w:t xml:space="preserve">Menganalisis faktor dominan </w:t>
      </w:r>
      <w:r w:rsidRPr="00492106">
        <w:rPr>
          <w:rFonts w:ascii="Arial" w:eastAsia="Arial" w:hAnsi="Arial" w:cs="Arial"/>
          <w:i/>
          <w:sz w:val="22"/>
          <w:szCs w:val="22"/>
        </w:rPr>
        <w:t xml:space="preserve">kejadian stunting </w:t>
      </w:r>
      <w:r w:rsidRPr="00492106">
        <w:rPr>
          <w:rFonts w:ascii="Arial" w:hAnsi="Arial" w:cs="Arial"/>
          <w:i/>
          <w:sz w:val="22"/>
          <w:szCs w:val="22"/>
        </w:rPr>
        <w:t>pada balita usia 12-23 bulan</w:t>
      </w:r>
      <w:r w:rsidRPr="00492106">
        <w:rPr>
          <w:rFonts w:ascii="Arial" w:eastAsia="Arial" w:hAnsi="Arial" w:cs="Arial"/>
          <w:i/>
          <w:sz w:val="22"/>
          <w:szCs w:val="22"/>
        </w:rPr>
        <w:t xml:space="preserve"> </w:t>
      </w:r>
      <w:r w:rsidRPr="00492106">
        <w:rPr>
          <w:rFonts w:ascii="Arial" w:hAnsi="Arial" w:cs="Arial"/>
          <w:i/>
          <w:sz w:val="22"/>
          <w:szCs w:val="22"/>
        </w:rPr>
        <w:t xml:space="preserve">dari </w:t>
      </w:r>
      <w:r w:rsidRPr="00492106">
        <w:rPr>
          <w:rFonts w:ascii="Arial" w:eastAsia="Arial" w:hAnsi="Arial" w:cs="Arial"/>
          <w:i/>
          <w:sz w:val="22"/>
          <w:szCs w:val="22"/>
        </w:rPr>
        <w:t>indikator penanganan stunting yang belum optimal di Provinsi Lampung.</w:t>
      </w:r>
    </w:p>
    <w:p w14:paraId="72FA358F" w14:textId="0957FC3B" w:rsidR="00492106" w:rsidRPr="00492106" w:rsidRDefault="00492106" w:rsidP="00492106">
      <w:pPr>
        <w:pStyle w:val="NormalWeb"/>
        <w:spacing w:before="0" w:beforeAutospacing="0" w:after="0" w:afterAutospacing="0"/>
        <w:jc w:val="both"/>
        <w:textAlignment w:val="baseline"/>
        <w:rPr>
          <w:rFonts w:ascii="Arial" w:hAnsi="Arial" w:cs="Arial"/>
          <w:bCs/>
          <w:i/>
          <w:sz w:val="22"/>
          <w:szCs w:val="22"/>
        </w:rPr>
      </w:pPr>
      <w:r w:rsidRPr="00492106">
        <w:rPr>
          <w:rFonts w:ascii="Arial" w:eastAsia="MS Mincho" w:hAnsi="Arial" w:cs="Arial"/>
          <w:b/>
          <w:bCs/>
          <w:i/>
          <w:kern w:val="24"/>
          <w:sz w:val="22"/>
          <w:szCs w:val="22"/>
        </w:rPr>
        <w:t>Metode:</w:t>
      </w:r>
      <w:r w:rsidRPr="00492106">
        <w:rPr>
          <w:rFonts w:ascii="Arial" w:eastAsia="MS Mincho" w:hAnsi="Arial" w:cs="Arial"/>
          <w:bCs/>
          <w:i/>
          <w:kern w:val="24"/>
          <w:sz w:val="22"/>
          <w:szCs w:val="22"/>
        </w:rPr>
        <w:t xml:space="preserve"> </w:t>
      </w:r>
      <w:r w:rsidRPr="00492106">
        <w:rPr>
          <w:rFonts w:ascii="Arial" w:eastAsia="Arial" w:hAnsi="Arial" w:cs="Arial"/>
          <w:i/>
          <w:sz w:val="22"/>
          <w:szCs w:val="22"/>
        </w:rPr>
        <w:t xml:space="preserve">Penelitian ini menggunakan design </w:t>
      </w:r>
      <w:r w:rsidRPr="00492106">
        <w:rPr>
          <w:rFonts w:ascii="Arial" w:hAnsi="Arial" w:cs="Arial"/>
          <w:bCs/>
          <w:i/>
          <w:sz w:val="22"/>
          <w:szCs w:val="22"/>
        </w:rPr>
        <w:t xml:space="preserve">cross-sectional dengan memanfaatkan data sekunder SSGI 2022. Variabel penelitian terdiri dari konsumsi </w:t>
      </w:r>
      <w:r w:rsidRPr="00492106">
        <w:rPr>
          <w:rFonts w:ascii="Arial" w:hAnsi="Arial" w:cs="Arial"/>
          <w:i/>
          <w:sz w:val="22"/>
          <w:szCs w:val="22"/>
        </w:rPr>
        <w:t>TTD, ASI eksklusif, pemantauan pertumbuhan, imunisasi dasar, akses air minum, akses sanitasi, dan kejadian stunting</w:t>
      </w:r>
      <w:r w:rsidRPr="00492106">
        <w:rPr>
          <w:rFonts w:ascii="Arial" w:eastAsia="Arial" w:hAnsi="Arial" w:cs="Arial"/>
          <w:i/>
          <w:sz w:val="22"/>
          <w:szCs w:val="22"/>
        </w:rPr>
        <w:t>.</w:t>
      </w:r>
      <w:r w:rsidRPr="00492106">
        <w:rPr>
          <w:rFonts w:ascii="Arial" w:hAnsi="Arial" w:cs="Arial"/>
          <w:bCs/>
          <w:i/>
          <w:sz w:val="22"/>
          <w:szCs w:val="22"/>
        </w:rPr>
        <w:t xml:space="preserve"> Sampel penelitian sebanyak 1.9</w:t>
      </w:r>
      <w:r w:rsidR="00A55935">
        <w:rPr>
          <w:rFonts w:ascii="Arial" w:hAnsi="Arial" w:cs="Arial"/>
          <w:bCs/>
          <w:i/>
          <w:sz w:val="22"/>
          <w:szCs w:val="22"/>
        </w:rPr>
        <w:t>29</w:t>
      </w:r>
      <w:r w:rsidRPr="00492106">
        <w:rPr>
          <w:rFonts w:ascii="Arial" w:hAnsi="Arial" w:cs="Arial"/>
          <w:bCs/>
          <w:i/>
          <w:sz w:val="22"/>
          <w:szCs w:val="22"/>
        </w:rPr>
        <w:t xml:space="preserve"> balita usia 12-23 bulan yang dipilih secara purposive sampling. Data dianalisis secara univariat dengan table</w:t>
      </w:r>
      <w:r w:rsidRPr="00492106">
        <w:rPr>
          <w:rStyle w:val="CommentReference"/>
          <w:rFonts w:ascii="Arial" w:hAnsi="Arial" w:cs="Arial"/>
          <w:i/>
          <w:sz w:val="22"/>
          <w:szCs w:val="22"/>
        </w:rPr>
        <w:t xml:space="preserve"> </w:t>
      </w:r>
      <w:r w:rsidRPr="00492106">
        <w:rPr>
          <w:rFonts w:ascii="Arial" w:hAnsi="Arial" w:cs="Arial"/>
          <w:bCs/>
          <w:i/>
          <w:sz w:val="22"/>
          <w:szCs w:val="22"/>
        </w:rPr>
        <w:t xml:space="preserve">distribusi frekuensi, bivariat dengan uji Chi-Square, dan multivariat dengan uji regresi </w:t>
      </w:r>
      <w:r w:rsidR="009D1E2B">
        <w:rPr>
          <w:rFonts w:ascii="Arial" w:hAnsi="Arial" w:cs="Arial"/>
          <w:bCs/>
          <w:i/>
          <w:sz w:val="22"/>
          <w:szCs w:val="22"/>
        </w:rPr>
        <w:t>logistic multilevel</w:t>
      </w:r>
      <w:r w:rsidRPr="00492106">
        <w:rPr>
          <w:rFonts w:ascii="Arial" w:hAnsi="Arial" w:cs="Arial"/>
          <w:bCs/>
          <w:i/>
          <w:sz w:val="22"/>
          <w:szCs w:val="22"/>
        </w:rPr>
        <w:t xml:space="preserve">. </w:t>
      </w:r>
    </w:p>
    <w:p w14:paraId="1ED09D8B" w14:textId="77777777" w:rsidR="00ED1FDF" w:rsidRPr="00ED1FDF" w:rsidRDefault="00492106" w:rsidP="00ED1FDF">
      <w:pPr>
        <w:pStyle w:val="NormalWeb"/>
        <w:spacing w:before="0" w:beforeAutospacing="0" w:after="0" w:afterAutospacing="0"/>
        <w:jc w:val="both"/>
        <w:textAlignment w:val="baseline"/>
        <w:rPr>
          <w:rFonts w:ascii="Arial" w:hAnsi="Arial" w:cs="Arial"/>
          <w:i/>
          <w:sz w:val="22"/>
          <w:szCs w:val="22"/>
        </w:rPr>
      </w:pPr>
      <w:r w:rsidRPr="00ED1FDF">
        <w:rPr>
          <w:rStyle w:val="highlight"/>
          <w:rFonts w:ascii="Arial" w:hAnsi="Arial" w:cs="Arial"/>
          <w:b/>
          <w:i/>
          <w:sz w:val="22"/>
          <w:szCs w:val="22"/>
          <w:shd w:val="clear" w:color="auto" w:fill="FFFFFF"/>
        </w:rPr>
        <w:t>Hasil:</w:t>
      </w:r>
      <w:r w:rsidRPr="00ED1FDF">
        <w:rPr>
          <w:rStyle w:val="highlight"/>
          <w:rFonts w:ascii="Arial" w:hAnsi="Arial" w:cs="Arial"/>
          <w:i/>
          <w:sz w:val="22"/>
          <w:szCs w:val="22"/>
          <w:shd w:val="clear" w:color="auto" w:fill="FFFFFF"/>
        </w:rPr>
        <w:t xml:space="preserve"> </w:t>
      </w:r>
      <w:r w:rsidR="00ED1FDF" w:rsidRPr="00ED1FDF">
        <w:rPr>
          <w:rFonts w:ascii="Arial" w:hAnsi="Arial" w:cs="Arial"/>
          <w:bCs/>
          <w:i/>
          <w:sz w:val="22"/>
          <w:szCs w:val="22"/>
        </w:rPr>
        <w:t>Hasil penelitian menunjukkan balita dengan imunisasi dasar tidak lengkap 1.35 kali lebih berisiko stunting</w:t>
      </w:r>
      <w:r w:rsidR="00ED1FDF" w:rsidRPr="00ED1FDF">
        <w:rPr>
          <w:rFonts w:ascii="Arial" w:hAnsi="Arial" w:cs="Arial"/>
          <w:i/>
          <w:sz w:val="22"/>
          <w:szCs w:val="22"/>
        </w:rPr>
        <w:t xml:space="preserve"> (p = 0.021) dan balita dengan akses air minum tidak layak 1.38 kali lebih berisiko stunting (p = 0.020). </w:t>
      </w:r>
    </w:p>
    <w:p w14:paraId="266A492B" w14:textId="77777777" w:rsidR="00ED1FDF" w:rsidRPr="00ED1FDF" w:rsidRDefault="00492106" w:rsidP="00ED1FDF">
      <w:pPr>
        <w:spacing w:after="0" w:line="240" w:lineRule="auto"/>
        <w:jc w:val="both"/>
        <w:rPr>
          <w:rFonts w:ascii="Arial" w:hAnsi="Arial" w:cs="Arial"/>
          <w:i/>
        </w:rPr>
      </w:pPr>
      <w:r w:rsidRPr="00ED1FDF">
        <w:rPr>
          <w:rFonts w:ascii="Arial" w:eastAsia="MS Mincho" w:hAnsi="Arial" w:cs="Arial"/>
          <w:b/>
          <w:bCs/>
          <w:i/>
          <w:kern w:val="24"/>
        </w:rPr>
        <w:t>Kesimpulan:</w:t>
      </w:r>
      <w:r w:rsidRPr="00ED1FDF">
        <w:rPr>
          <w:rFonts w:ascii="Arial" w:hAnsi="Arial" w:cs="Arial"/>
          <w:i/>
        </w:rPr>
        <w:t xml:space="preserve"> </w:t>
      </w:r>
      <w:r w:rsidR="00ED1FDF" w:rsidRPr="00ED1FDF">
        <w:rPr>
          <w:rFonts w:ascii="Arial" w:hAnsi="Arial" w:cs="Arial"/>
          <w:i/>
        </w:rPr>
        <w:t>Akses air minum tidak layak merupakan faktor dominan yang memengaruhi kejadian stunting pada balita usia 12-23 bulan di Provinsi Lampung.</w:t>
      </w:r>
    </w:p>
    <w:p w14:paraId="1556B0C0" w14:textId="5685ADD8" w:rsidR="00492106" w:rsidRPr="00ED1FDF" w:rsidRDefault="00492106" w:rsidP="00ED1FDF">
      <w:pPr>
        <w:pStyle w:val="NormalWeb"/>
        <w:spacing w:before="0" w:beforeAutospacing="0" w:after="0" w:afterAutospacing="0"/>
        <w:jc w:val="both"/>
        <w:textAlignment w:val="baseline"/>
        <w:rPr>
          <w:rFonts w:ascii="Arial" w:hAnsi="Arial" w:cs="Arial"/>
          <w:i/>
          <w:lang w:val="id-ID"/>
        </w:rPr>
      </w:pPr>
    </w:p>
    <w:p w14:paraId="4689C199" w14:textId="77777777" w:rsidR="00492106" w:rsidRPr="00492106" w:rsidRDefault="00492106" w:rsidP="00492106">
      <w:pPr>
        <w:spacing w:after="0"/>
        <w:jc w:val="both"/>
        <w:rPr>
          <w:rFonts w:ascii="Arial" w:hAnsi="Arial" w:cs="Arial"/>
          <w:i/>
        </w:rPr>
      </w:pPr>
    </w:p>
    <w:p w14:paraId="1D8E58DB" w14:textId="12FA9D31" w:rsidR="00492106" w:rsidRPr="00492106" w:rsidRDefault="00492106" w:rsidP="00492106">
      <w:pPr>
        <w:pStyle w:val="NormalWeb"/>
        <w:spacing w:before="0" w:beforeAutospacing="0" w:after="0" w:afterAutospacing="0"/>
        <w:jc w:val="both"/>
        <w:textAlignment w:val="baseline"/>
        <w:rPr>
          <w:rFonts w:ascii="Arial" w:eastAsia="MS Mincho" w:hAnsi="Arial" w:cs="Arial"/>
          <w:b/>
          <w:bCs/>
          <w:i/>
          <w:kern w:val="24"/>
          <w:sz w:val="22"/>
          <w:szCs w:val="22"/>
        </w:rPr>
      </w:pPr>
      <w:r w:rsidRPr="00492106">
        <w:rPr>
          <w:rFonts w:ascii="Arial" w:hAnsi="Arial" w:cs="Arial"/>
          <w:b/>
          <w:i/>
          <w:sz w:val="22"/>
          <w:szCs w:val="22"/>
        </w:rPr>
        <w:t>Kata kunci:</w:t>
      </w:r>
      <w:r w:rsidRPr="00492106">
        <w:rPr>
          <w:rFonts w:ascii="Arial" w:hAnsi="Arial" w:cs="Arial"/>
          <w:i/>
          <w:sz w:val="22"/>
          <w:szCs w:val="22"/>
        </w:rPr>
        <w:t xml:space="preserve"> stuntin</w:t>
      </w:r>
      <w:r>
        <w:rPr>
          <w:rFonts w:ascii="Arial" w:hAnsi="Arial" w:cs="Arial"/>
          <w:i/>
          <w:sz w:val="22"/>
          <w:szCs w:val="22"/>
        </w:rPr>
        <w:t>g;</w:t>
      </w:r>
      <w:r w:rsidRPr="00492106">
        <w:rPr>
          <w:rFonts w:ascii="Arial" w:hAnsi="Arial" w:cs="Arial"/>
          <w:i/>
          <w:sz w:val="22"/>
          <w:szCs w:val="22"/>
        </w:rPr>
        <w:t xml:space="preserve"> intervensi gizi</w:t>
      </w:r>
      <w:r>
        <w:rPr>
          <w:rFonts w:ascii="Arial" w:hAnsi="Arial" w:cs="Arial"/>
          <w:i/>
          <w:sz w:val="22"/>
          <w:szCs w:val="22"/>
        </w:rPr>
        <w:t>;</w:t>
      </w:r>
      <w:r w:rsidRPr="00492106">
        <w:rPr>
          <w:rFonts w:ascii="Arial" w:hAnsi="Arial" w:cs="Arial"/>
          <w:i/>
          <w:sz w:val="22"/>
          <w:szCs w:val="22"/>
        </w:rPr>
        <w:t xml:space="preserve"> data sekunder</w:t>
      </w:r>
      <w:r>
        <w:rPr>
          <w:rFonts w:ascii="Arial" w:hAnsi="Arial" w:cs="Arial"/>
          <w:i/>
          <w:sz w:val="22"/>
          <w:szCs w:val="22"/>
        </w:rPr>
        <w:t>;</w:t>
      </w:r>
      <w:r w:rsidRPr="00492106">
        <w:rPr>
          <w:rFonts w:ascii="Arial" w:hAnsi="Arial" w:cs="Arial"/>
          <w:i/>
          <w:sz w:val="22"/>
          <w:szCs w:val="22"/>
        </w:rPr>
        <w:t xml:space="preserve"> SSGI</w:t>
      </w:r>
      <w:r>
        <w:rPr>
          <w:rFonts w:ascii="Arial" w:hAnsi="Arial" w:cs="Arial"/>
          <w:i/>
          <w:sz w:val="22"/>
          <w:szCs w:val="22"/>
        </w:rPr>
        <w:t>;</w:t>
      </w:r>
      <w:r w:rsidRPr="00492106">
        <w:rPr>
          <w:rFonts w:ascii="Arial" w:hAnsi="Arial" w:cs="Arial"/>
          <w:i/>
          <w:sz w:val="22"/>
          <w:szCs w:val="22"/>
        </w:rPr>
        <w:t xml:space="preserve"> balita</w:t>
      </w:r>
    </w:p>
    <w:p w14:paraId="5E9C131A" w14:textId="77777777" w:rsidR="00EB236B" w:rsidRPr="000D78E1" w:rsidRDefault="00EB236B" w:rsidP="00EB236B">
      <w:pPr>
        <w:spacing w:line="240" w:lineRule="auto"/>
        <w:jc w:val="both"/>
        <w:rPr>
          <w:rFonts w:ascii="Arial" w:hAnsi="Arial" w:cs="Arial"/>
          <w:i/>
          <w:color w:val="000000" w:themeColor="text1"/>
          <w:lang w:val="en-US"/>
        </w:rPr>
      </w:pPr>
    </w:p>
    <w:p w14:paraId="2495C17C" w14:textId="77777777" w:rsidR="00EB236B" w:rsidRDefault="00EB236B" w:rsidP="00FF7BA9">
      <w:pPr>
        <w:spacing w:line="240" w:lineRule="auto"/>
        <w:jc w:val="center"/>
        <w:rPr>
          <w:rFonts w:ascii="Arial" w:hAnsi="Arial" w:cs="Arial"/>
          <w:b/>
          <w:color w:val="000000" w:themeColor="text1"/>
        </w:rPr>
      </w:pPr>
    </w:p>
    <w:p w14:paraId="1BBEAD8B" w14:textId="77777777" w:rsidR="004D1E50" w:rsidRDefault="004D1E50">
      <w:pPr>
        <w:rPr>
          <w:rFonts w:ascii="Arial" w:hAnsi="Arial" w:cs="Arial"/>
          <w:b/>
          <w:color w:val="000000" w:themeColor="text1"/>
        </w:rPr>
      </w:pPr>
      <w:r>
        <w:rPr>
          <w:rFonts w:ascii="Arial" w:hAnsi="Arial" w:cs="Arial"/>
          <w:b/>
          <w:color w:val="000000" w:themeColor="text1"/>
        </w:rPr>
        <w:br w:type="page"/>
      </w:r>
    </w:p>
    <w:p w14:paraId="202C8140" w14:textId="7F091D87" w:rsidR="00FF7BA9" w:rsidRPr="00FF7BA9" w:rsidRDefault="00FF7BA9" w:rsidP="00FF7BA9">
      <w:pPr>
        <w:spacing w:line="240" w:lineRule="auto"/>
        <w:jc w:val="center"/>
        <w:rPr>
          <w:rFonts w:ascii="Arial" w:hAnsi="Arial" w:cs="Arial"/>
          <w:b/>
          <w:color w:val="000000" w:themeColor="text1"/>
        </w:rPr>
      </w:pPr>
      <w:r w:rsidRPr="00FF7BA9">
        <w:rPr>
          <w:rFonts w:ascii="Arial" w:hAnsi="Arial" w:cs="Arial"/>
          <w:b/>
          <w:color w:val="000000" w:themeColor="text1"/>
        </w:rPr>
        <w:lastRenderedPageBreak/>
        <w:t>ABSTRACT</w:t>
      </w:r>
    </w:p>
    <w:p w14:paraId="1E769428" w14:textId="77777777" w:rsidR="00492106" w:rsidRPr="00492106" w:rsidRDefault="00492106" w:rsidP="00492106">
      <w:pPr>
        <w:pStyle w:val="NormalWeb"/>
        <w:spacing w:before="0" w:beforeAutospacing="0" w:after="0" w:afterAutospacing="0"/>
        <w:jc w:val="both"/>
        <w:textAlignment w:val="baseline"/>
        <w:rPr>
          <w:rFonts w:ascii="Arial" w:eastAsia="MS Mincho" w:hAnsi="Arial" w:cs="Arial"/>
          <w:bCs/>
          <w:i/>
          <w:iCs/>
          <w:kern w:val="24"/>
          <w:sz w:val="22"/>
          <w:szCs w:val="22"/>
        </w:rPr>
      </w:pPr>
      <w:r w:rsidRPr="00492106">
        <w:rPr>
          <w:rFonts w:ascii="Arial" w:hAnsi="Arial" w:cs="Arial"/>
          <w:b/>
          <w:i/>
          <w:iCs/>
          <w:sz w:val="22"/>
          <w:szCs w:val="22"/>
        </w:rPr>
        <w:t>Background:</w:t>
      </w:r>
      <w:r w:rsidRPr="00492106">
        <w:rPr>
          <w:rFonts w:ascii="Arial" w:hAnsi="Arial" w:cs="Arial"/>
          <w:i/>
          <w:iCs/>
          <w:sz w:val="22"/>
          <w:szCs w:val="22"/>
        </w:rPr>
        <w:t xml:space="preserve"> The implementation of specific and sensitive nutrition interventions is an effort to prevent the increasing prevalence of stunting in Indonesia. In its application, not all target indicators work optimally, as with several nutrition intervention indicators in Lampung Province such as history of iron tablet consumption during maternal pregnancy, exclusive breastfeeding, toddler growth monitoring, complete primary immunization, access to drinking water, and access to sanitation.</w:t>
      </w:r>
    </w:p>
    <w:p w14:paraId="461E87D7" w14:textId="77777777" w:rsidR="00492106" w:rsidRPr="00492106" w:rsidRDefault="00492106" w:rsidP="00492106">
      <w:pPr>
        <w:pStyle w:val="NormalWeb"/>
        <w:spacing w:before="0" w:beforeAutospacing="0" w:after="0" w:afterAutospacing="0"/>
        <w:jc w:val="both"/>
        <w:textAlignment w:val="baseline"/>
        <w:rPr>
          <w:rFonts w:ascii="Arial" w:eastAsia="MS Mincho" w:hAnsi="Arial" w:cs="Arial"/>
          <w:b/>
          <w:bCs/>
          <w:i/>
          <w:iCs/>
          <w:kern w:val="24"/>
          <w:sz w:val="22"/>
          <w:szCs w:val="22"/>
        </w:rPr>
      </w:pPr>
      <w:r w:rsidRPr="00492106">
        <w:rPr>
          <w:rFonts w:ascii="Arial" w:eastAsia="MS Mincho" w:hAnsi="Arial" w:cs="Arial"/>
          <w:b/>
          <w:bCs/>
          <w:i/>
          <w:iCs/>
          <w:kern w:val="24"/>
          <w:sz w:val="22"/>
          <w:szCs w:val="22"/>
        </w:rPr>
        <w:t xml:space="preserve">Objectives: </w:t>
      </w:r>
      <w:r w:rsidRPr="00492106">
        <w:rPr>
          <w:rFonts w:ascii="Arial" w:hAnsi="Arial" w:cs="Arial"/>
          <w:i/>
          <w:iCs/>
          <w:sz w:val="22"/>
          <w:szCs w:val="22"/>
        </w:rPr>
        <w:t>Analyze the dominant factors of stunting incidence among toddlers aged 12-13 months from suboptimal handling of stunting in Lampung Province.</w:t>
      </w:r>
    </w:p>
    <w:p w14:paraId="1C4E1D9F" w14:textId="3368A363" w:rsidR="00492106" w:rsidRPr="00492106" w:rsidRDefault="00492106" w:rsidP="00492106">
      <w:pPr>
        <w:pStyle w:val="NormalWeb"/>
        <w:spacing w:before="0" w:beforeAutospacing="0" w:after="0" w:afterAutospacing="0"/>
        <w:jc w:val="both"/>
        <w:textAlignment w:val="baseline"/>
        <w:rPr>
          <w:rFonts w:ascii="Arial" w:hAnsi="Arial" w:cs="Arial"/>
          <w:i/>
          <w:iCs/>
          <w:sz w:val="22"/>
          <w:szCs w:val="22"/>
        </w:rPr>
      </w:pPr>
      <w:r w:rsidRPr="00492106">
        <w:rPr>
          <w:rFonts w:ascii="Arial" w:eastAsia="MS Mincho" w:hAnsi="Arial" w:cs="Arial"/>
          <w:b/>
          <w:bCs/>
          <w:i/>
          <w:iCs/>
          <w:kern w:val="24"/>
          <w:sz w:val="22"/>
          <w:szCs w:val="22"/>
        </w:rPr>
        <w:t>Methods:</w:t>
      </w:r>
      <w:r w:rsidRPr="00492106">
        <w:rPr>
          <w:rFonts w:ascii="Arial" w:eastAsia="MS Mincho" w:hAnsi="Arial" w:cs="Arial"/>
          <w:bCs/>
          <w:i/>
          <w:iCs/>
          <w:kern w:val="24"/>
          <w:sz w:val="22"/>
          <w:szCs w:val="22"/>
        </w:rPr>
        <w:t xml:space="preserve"> </w:t>
      </w:r>
      <w:r w:rsidRPr="00492106">
        <w:rPr>
          <w:rFonts w:ascii="Arial" w:hAnsi="Arial" w:cs="Arial"/>
          <w:i/>
          <w:iCs/>
          <w:sz w:val="22"/>
          <w:szCs w:val="22"/>
          <w:lang w:eastAsia="ko-KR"/>
        </w:rPr>
        <w:t>This study utilized a cross-sectional design with secondary data from SSGI 2022</w:t>
      </w:r>
      <w:r w:rsidRPr="00492106">
        <w:rPr>
          <w:rFonts w:ascii="Arial" w:hAnsi="Arial" w:cs="Arial"/>
          <w:i/>
          <w:iCs/>
          <w:sz w:val="22"/>
          <w:szCs w:val="22"/>
        </w:rPr>
        <w:t>. The variables in this study were iron tablet consumption, exclusive breastfeeding, toddler growth monitoring, primary immunization, access to drinking water, access to sanitation, and the incidence of stunting. The subjects were 1</w:t>
      </w:r>
      <w:r w:rsidR="00A55935">
        <w:rPr>
          <w:rFonts w:ascii="Arial" w:hAnsi="Arial" w:cs="Arial"/>
          <w:i/>
          <w:iCs/>
          <w:sz w:val="22"/>
          <w:szCs w:val="22"/>
        </w:rPr>
        <w:t>.</w:t>
      </w:r>
      <w:r w:rsidRPr="00492106">
        <w:rPr>
          <w:rFonts w:ascii="Arial" w:hAnsi="Arial" w:cs="Arial"/>
          <w:i/>
          <w:iCs/>
          <w:sz w:val="22"/>
          <w:szCs w:val="22"/>
        </w:rPr>
        <w:t>9</w:t>
      </w:r>
      <w:r w:rsidR="00A55935">
        <w:rPr>
          <w:rFonts w:ascii="Arial" w:hAnsi="Arial" w:cs="Arial"/>
          <w:i/>
          <w:iCs/>
          <w:sz w:val="22"/>
          <w:szCs w:val="22"/>
        </w:rPr>
        <w:t>29</w:t>
      </w:r>
      <w:r w:rsidRPr="00492106">
        <w:rPr>
          <w:rFonts w:ascii="Arial" w:hAnsi="Arial" w:cs="Arial"/>
          <w:i/>
          <w:iCs/>
          <w:sz w:val="22"/>
          <w:szCs w:val="22"/>
        </w:rPr>
        <w:t xml:space="preserve"> toddlers aged 12-23 months, selected by purposive sampling. Data were analyzed univariately with a frequency distribution table, bivariately with a Chi-Square test, and multivariately with a</w:t>
      </w:r>
      <w:r w:rsidR="00A55935">
        <w:rPr>
          <w:rFonts w:ascii="Arial" w:hAnsi="Arial" w:cs="Arial"/>
          <w:i/>
          <w:iCs/>
          <w:sz w:val="22"/>
          <w:szCs w:val="22"/>
        </w:rPr>
        <w:t xml:space="preserve"> multilevel</w:t>
      </w:r>
      <w:r w:rsidRPr="00492106">
        <w:rPr>
          <w:rFonts w:ascii="Arial" w:hAnsi="Arial" w:cs="Arial"/>
          <w:i/>
          <w:iCs/>
          <w:sz w:val="22"/>
          <w:szCs w:val="22"/>
        </w:rPr>
        <w:t xml:space="preserve"> logistic regression test</w:t>
      </w:r>
    </w:p>
    <w:p w14:paraId="7BD3206B" w14:textId="6B875A6D" w:rsidR="00492106" w:rsidRPr="00492106" w:rsidRDefault="00492106" w:rsidP="00492106">
      <w:pPr>
        <w:pStyle w:val="NormalWeb"/>
        <w:spacing w:before="0" w:beforeAutospacing="0" w:after="0" w:afterAutospacing="0"/>
        <w:jc w:val="both"/>
        <w:textAlignment w:val="baseline"/>
        <w:rPr>
          <w:rFonts w:ascii="Arial" w:hAnsi="Arial" w:cs="Arial"/>
          <w:i/>
          <w:iCs/>
          <w:sz w:val="22"/>
          <w:szCs w:val="22"/>
          <w:lang w:eastAsia="ko-KR"/>
        </w:rPr>
      </w:pPr>
      <w:r w:rsidRPr="00492106">
        <w:rPr>
          <w:rStyle w:val="highlight"/>
          <w:rFonts w:ascii="Arial" w:hAnsi="Arial" w:cs="Arial"/>
          <w:b/>
          <w:i/>
          <w:iCs/>
          <w:sz w:val="22"/>
          <w:szCs w:val="22"/>
          <w:shd w:val="clear" w:color="auto" w:fill="FFFFFF"/>
        </w:rPr>
        <w:t xml:space="preserve">Results: </w:t>
      </w:r>
      <w:r w:rsidR="00ED1FDF" w:rsidRPr="00ED1FDF">
        <w:rPr>
          <w:rFonts w:ascii="Arial" w:hAnsi="Arial" w:cs="Arial"/>
          <w:i/>
          <w:iCs/>
          <w:sz w:val="22"/>
          <w:szCs w:val="22"/>
          <w:lang w:eastAsia="ko-KR"/>
        </w:rPr>
        <w:t>Toddlers with incomplete primary immunization were 1.35 times more likely to be stunted (p = 0.021), and toddlers with inadequate access to drinking water were 1.38 times more likely to be stunted (p = 0.020).</w:t>
      </w:r>
    </w:p>
    <w:p w14:paraId="6D8FA9E5" w14:textId="3A55FFF5" w:rsidR="00492106" w:rsidRPr="00ED1FDF" w:rsidRDefault="00492106" w:rsidP="00492106">
      <w:pPr>
        <w:pStyle w:val="NormalWeb"/>
        <w:spacing w:before="0" w:beforeAutospacing="0" w:after="0" w:afterAutospacing="0"/>
        <w:jc w:val="both"/>
        <w:textAlignment w:val="baseline"/>
        <w:rPr>
          <w:rFonts w:ascii="Arial" w:hAnsi="Arial" w:cs="Arial"/>
          <w:i/>
          <w:iCs/>
          <w:sz w:val="22"/>
          <w:szCs w:val="22"/>
        </w:rPr>
      </w:pPr>
      <w:r w:rsidRPr="00492106">
        <w:rPr>
          <w:rFonts w:ascii="Arial" w:eastAsia="MS Mincho" w:hAnsi="Arial" w:cs="Arial"/>
          <w:b/>
          <w:bCs/>
          <w:i/>
          <w:iCs/>
          <w:kern w:val="24"/>
          <w:sz w:val="22"/>
          <w:szCs w:val="22"/>
        </w:rPr>
        <w:t>Conclusions:</w:t>
      </w:r>
      <w:r w:rsidRPr="00492106">
        <w:rPr>
          <w:rFonts w:ascii="Arial" w:hAnsi="Arial" w:cs="Arial"/>
          <w:i/>
          <w:iCs/>
          <w:sz w:val="22"/>
          <w:szCs w:val="22"/>
        </w:rPr>
        <w:t xml:space="preserve"> </w:t>
      </w:r>
      <w:r w:rsidR="00ED1FDF" w:rsidRPr="00ED1FDF">
        <w:rPr>
          <w:rFonts w:ascii="Arial" w:hAnsi="Arial" w:cs="Arial"/>
          <w:i/>
          <w:iCs/>
          <w:sz w:val="22"/>
          <w:szCs w:val="22"/>
          <w:lang w:eastAsia="ko-KR"/>
        </w:rPr>
        <w:t>Inadequate access to drinking water is the most important factor impacting stunting in Lampung Province children aged 12-23 months.</w:t>
      </w:r>
    </w:p>
    <w:p w14:paraId="3B75AE4D" w14:textId="77777777" w:rsidR="00492106" w:rsidRPr="00492106" w:rsidRDefault="00492106" w:rsidP="00492106">
      <w:pPr>
        <w:pStyle w:val="NoSpacing"/>
        <w:jc w:val="both"/>
        <w:rPr>
          <w:rFonts w:ascii="Arial" w:hAnsi="Arial" w:cs="Arial"/>
          <w:i/>
          <w:iCs/>
        </w:rPr>
      </w:pPr>
    </w:p>
    <w:p w14:paraId="2CACA068" w14:textId="7D45BD11" w:rsidR="00492106" w:rsidRPr="00492106" w:rsidRDefault="00492106" w:rsidP="00492106">
      <w:pPr>
        <w:pStyle w:val="NoSpacing"/>
        <w:jc w:val="both"/>
        <w:rPr>
          <w:rFonts w:ascii="Arial" w:hAnsi="Arial" w:cs="Arial"/>
          <w:i/>
          <w:iCs/>
          <w:color w:val="000000"/>
        </w:rPr>
      </w:pPr>
      <w:r w:rsidRPr="00492106">
        <w:rPr>
          <w:rFonts w:ascii="Arial" w:hAnsi="Arial" w:cs="Arial"/>
          <w:b/>
          <w:i/>
          <w:iCs/>
        </w:rPr>
        <w:t>Keywords:</w:t>
      </w:r>
      <w:r w:rsidRPr="00492106">
        <w:rPr>
          <w:rFonts w:ascii="Arial" w:hAnsi="Arial" w:cs="Arial"/>
          <w:i/>
          <w:iCs/>
        </w:rPr>
        <w:t xml:space="preserve"> </w:t>
      </w:r>
      <w:r w:rsidRPr="00492106">
        <w:rPr>
          <w:rFonts w:ascii="Arial" w:hAnsi="Arial" w:cs="Arial"/>
          <w:i/>
          <w:iCs/>
          <w:color w:val="000000"/>
        </w:rPr>
        <w:t>stunting</w:t>
      </w:r>
      <w:r>
        <w:rPr>
          <w:rFonts w:ascii="Arial" w:hAnsi="Arial" w:cs="Arial"/>
          <w:i/>
          <w:iCs/>
          <w:color w:val="000000"/>
        </w:rPr>
        <w:t>;</w:t>
      </w:r>
      <w:r w:rsidRPr="00492106">
        <w:rPr>
          <w:rFonts w:ascii="Arial" w:hAnsi="Arial" w:cs="Arial"/>
          <w:i/>
          <w:iCs/>
          <w:color w:val="000000"/>
        </w:rPr>
        <w:t xml:space="preserve"> nutrition interventions</w:t>
      </w:r>
      <w:r>
        <w:rPr>
          <w:rFonts w:ascii="Arial" w:hAnsi="Arial" w:cs="Arial"/>
          <w:i/>
          <w:iCs/>
          <w:color w:val="000000"/>
        </w:rPr>
        <w:t>;</w:t>
      </w:r>
      <w:r w:rsidRPr="00492106">
        <w:rPr>
          <w:rFonts w:ascii="Arial" w:hAnsi="Arial" w:cs="Arial"/>
          <w:i/>
          <w:iCs/>
          <w:color w:val="000000"/>
        </w:rPr>
        <w:t xml:space="preserve"> secondary data</w:t>
      </w:r>
      <w:r>
        <w:rPr>
          <w:rFonts w:ascii="Arial" w:hAnsi="Arial" w:cs="Arial"/>
          <w:i/>
          <w:iCs/>
          <w:color w:val="000000"/>
        </w:rPr>
        <w:t>;</w:t>
      </w:r>
      <w:r w:rsidRPr="00492106">
        <w:rPr>
          <w:rFonts w:ascii="Arial" w:hAnsi="Arial" w:cs="Arial"/>
          <w:i/>
          <w:iCs/>
          <w:color w:val="000000"/>
        </w:rPr>
        <w:t xml:space="preserve"> SSGI</w:t>
      </w:r>
      <w:r>
        <w:rPr>
          <w:rFonts w:ascii="Arial" w:hAnsi="Arial" w:cs="Arial"/>
          <w:i/>
          <w:iCs/>
          <w:color w:val="000000"/>
        </w:rPr>
        <w:t xml:space="preserve">; </w:t>
      </w:r>
      <w:r w:rsidRPr="00492106">
        <w:rPr>
          <w:rFonts w:ascii="Arial" w:hAnsi="Arial" w:cs="Arial"/>
          <w:i/>
          <w:iCs/>
          <w:color w:val="000000"/>
        </w:rPr>
        <w:t>toddlers</w:t>
      </w:r>
    </w:p>
    <w:p w14:paraId="62AB9400" w14:textId="28C10BD9" w:rsidR="000E326B" w:rsidRDefault="000E326B" w:rsidP="00E17148">
      <w:pPr>
        <w:spacing w:after="0" w:line="360" w:lineRule="auto"/>
        <w:ind w:right="146"/>
        <w:jc w:val="both"/>
        <w:rPr>
          <w:rFonts w:ascii="Arial" w:hAnsi="Arial" w:cs="Arial"/>
          <w:color w:val="000000" w:themeColor="text1"/>
          <w:lang w:val="en-US"/>
        </w:rPr>
      </w:pPr>
    </w:p>
    <w:p w14:paraId="4E2374BB" w14:textId="77777777" w:rsidR="000E326B" w:rsidRPr="000E326B" w:rsidRDefault="000E326B" w:rsidP="000E326B">
      <w:pPr>
        <w:shd w:val="clear" w:color="auto" w:fill="FFFFFF"/>
        <w:spacing w:after="0" w:line="240" w:lineRule="auto"/>
        <w:rPr>
          <w:rFonts w:ascii="Arial" w:eastAsia="Times New Roman" w:hAnsi="Arial" w:cs="Arial"/>
          <w:sz w:val="20"/>
          <w:szCs w:val="25"/>
          <w:lang w:val="en-US"/>
        </w:rPr>
      </w:pPr>
      <w:r w:rsidRPr="000E326B">
        <w:rPr>
          <w:rFonts w:ascii="Arial" w:eastAsia="Times New Roman" w:hAnsi="Arial" w:cs="Arial"/>
          <w:sz w:val="20"/>
          <w:szCs w:val="25"/>
          <w:lang w:val="en-US"/>
        </w:rPr>
        <w:t>Article info:</w:t>
      </w:r>
    </w:p>
    <w:p w14:paraId="41420B44" w14:textId="269E3D7D" w:rsidR="000E326B" w:rsidRPr="000E326B" w:rsidRDefault="000E326B" w:rsidP="000E326B">
      <w:pPr>
        <w:shd w:val="clear" w:color="auto" w:fill="FFFFFF"/>
        <w:spacing w:after="0" w:line="240" w:lineRule="auto"/>
        <w:rPr>
          <w:rFonts w:ascii="Arial" w:eastAsia="Times New Roman" w:hAnsi="Arial" w:cs="Arial"/>
          <w:sz w:val="20"/>
          <w:szCs w:val="25"/>
          <w:lang w:val="en-US"/>
        </w:rPr>
      </w:pPr>
      <w:r w:rsidRPr="000E326B">
        <w:rPr>
          <w:rFonts w:ascii="Arial" w:eastAsia="Times New Roman" w:hAnsi="Arial" w:cs="Arial"/>
          <w:sz w:val="20"/>
          <w:szCs w:val="25"/>
          <w:lang w:val="en-US"/>
        </w:rPr>
        <w:t xml:space="preserve">Article submitted on </w:t>
      </w:r>
      <w:r w:rsidRPr="008F2169">
        <w:rPr>
          <w:rFonts w:ascii="Arial" w:eastAsia="Times New Roman" w:hAnsi="Arial" w:cs="Arial"/>
          <w:sz w:val="20"/>
          <w:szCs w:val="25"/>
          <w:lang w:val="en-US"/>
        </w:rPr>
        <w:t>Month Date, Year</w:t>
      </w:r>
      <w:r w:rsidRPr="000E326B">
        <w:rPr>
          <w:rFonts w:ascii="Arial" w:eastAsia="Times New Roman" w:hAnsi="Arial" w:cs="Arial"/>
          <w:sz w:val="20"/>
          <w:szCs w:val="25"/>
          <w:lang w:val="en-US"/>
        </w:rPr>
        <w:t xml:space="preserve"> </w:t>
      </w:r>
    </w:p>
    <w:p w14:paraId="1DB707AC" w14:textId="12CEA482" w:rsidR="000E326B" w:rsidRPr="000E326B" w:rsidRDefault="000E326B" w:rsidP="000E326B">
      <w:pPr>
        <w:shd w:val="clear" w:color="auto" w:fill="FFFFFF"/>
        <w:spacing w:after="0" w:line="240" w:lineRule="auto"/>
        <w:rPr>
          <w:rFonts w:ascii="Arial" w:eastAsia="Times New Roman" w:hAnsi="Arial" w:cs="Arial"/>
          <w:sz w:val="20"/>
          <w:szCs w:val="25"/>
          <w:lang w:val="en-US"/>
        </w:rPr>
      </w:pPr>
      <w:r w:rsidRPr="000E326B">
        <w:rPr>
          <w:rFonts w:ascii="Arial" w:eastAsia="Times New Roman" w:hAnsi="Arial" w:cs="Arial"/>
          <w:sz w:val="20"/>
          <w:szCs w:val="25"/>
          <w:lang w:val="en-US"/>
        </w:rPr>
        <w:t xml:space="preserve">Articles revised on </w:t>
      </w:r>
      <w:r w:rsidRPr="008F2169">
        <w:rPr>
          <w:rFonts w:ascii="Arial" w:eastAsia="Times New Roman" w:hAnsi="Arial" w:cs="Arial"/>
          <w:sz w:val="20"/>
          <w:szCs w:val="25"/>
          <w:lang w:val="en-US"/>
        </w:rPr>
        <w:t>Month Date, Year</w:t>
      </w:r>
    </w:p>
    <w:p w14:paraId="11AE0E67" w14:textId="6E49AAAD" w:rsidR="000E326B" w:rsidRPr="000E326B" w:rsidRDefault="000E326B" w:rsidP="000E326B">
      <w:pPr>
        <w:shd w:val="clear" w:color="auto" w:fill="FFFFFF"/>
        <w:spacing w:after="0" w:line="240" w:lineRule="auto"/>
        <w:rPr>
          <w:rFonts w:ascii="Arial" w:eastAsia="Times New Roman" w:hAnsi="Arial" w:cs="Arial"/>
          <w:sz w:val="20"/>
          <w:szCs w:val="25"/>
          <w:lang w:val="en-US"/>
        </w:rPr>
      </w:pPr>
      <w:r w:rsidRPr="000E326B">
        <w:rPr>
          <w:rFonts w:ascii="Arial" w:eastAsia="Times New Roman" w:hAnsi="Arial" w:cs="Arial"/>
          <w:sz w:val="20"/>
          <w:szCs w:val="25"/>
          <w:lang w:val="en-US"/>
        </w:rPr>
        <w:t xml:space="preserve">Articles received on </w:t>
      </w:r>
      <w:r w:rsidRPr="008F2169">
        <w:rPr>
          <w:rFonts w:ascii="Arial" w:eastAsia="Times New Roman" w:hAnsi="Arial" w:cs="Arial"/>
          <w:sz w:val="20"/>
          <w:szCs w:val="25"/>
          <w:lang w:val="en-US"/>
        </w:rPr>
        <w:t>Month Date, Year</w:t>
      </w:r>
    </w:p>
    <w:p w14:paraId="5D6B52BE" w14:textId="004F562E" w:rsidR="000E326B" w:rsidRPr="000E326B" w:rsidRDefault="000E326B" w:rsidP="000E326B">
      <w:pPr>
        <w:shd w:val="clear" w:color="auto" w:fill="FFFFFF"/>
        <w:spacing w:after="0" w:line="240" w:lineRule="auto"/>
        <w:rPr>
          <w:rFonts w:ascii="Arial" w:eastAsia="Times New Roman" w:hAnsi="Arial" w:cs="Arial"/>
          <w:szCs w:val="25"/>
          <w:lang w:val="en-US"/>
        </w:rPr>
      </w:pPr>
    </w:p>
    <w:p w14:paraId="10F0567B" w14:textId="71570370" w:rsidR="000E326B" w:rsidRPr="000E326B" w:rsidRDefault="000E326B" w:rsidP="00E17148">
      <w:pPr>
        <w:spacing w:after="0" w:line="360" w:lineRule="auto"/>
        <w:ind w:right="146"/>
        <w:jc w:val="both"/>
        <w:rPr>
          <w:rFonts w:ascii="Arial" w:hAnsi="Arial" w:cs="Arial"/>
          <w:color w:val="000000" w:themeColor="text1"/>
          <w:lang w:val="en-US"/>
        </w:rPr>
      </w:pPr>
      <w:r>
        <w:rPr>
          <w:rFonts w:ascii="Arial" w:hAnsi="Arial" w:cs="Arial"/>
          <w:noProof/>
          <w:color w:val="000000" w:themeColor="text1"/>
          <w:vertAlign w:val="superscript"/>
          <w:lang w:val="en-US"/>
        </w:rPr>
        <mc:AlternateContent>
          <mc:Choice Requires="wps">
            <w:drawing>
              <wp:anchor distT="4294967295" distB="4294967295" distL="114300" distR="114300" simplePos="0" relativeHeight="251660288" behindDoc="0" locked="0" layoutInCell="1" allowOverlap="1" wp14:anchorId="322BCF68" wp14:editId="55C09C07">
                <wp:simplePos x="0" y="0"/>
                <wp:positionH relativeFrom="margin">
                  <wp:posOffset>0</wp:posOffset>
                </wp:positionH>
                <wp:positionV relativeFrom="paragraph">
                  <wp:posOffset>0</wp:posOffset>
                </wp:positionV>
                <wp:extent cx="5373370" cy="0"/>
                <wp:effectExtent l="0" t="0" r="368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67CDF" id="_x0000_t32" coordsize="21600,21600" o:spt="32" o:oned="t" path="m,l21600,21600e" filled="f">
                <v:path arrowok="t" fillok="f" o:connecttype="none"/>
                <o:lock v:ext="edit" shapetype="t"/>
              </v:shapetype>
              <v:shape id="Straight Arrow Connector 2" o:spid="_x0000_s1026" type="#_x0000_t32" style="position:absolute;margin-left:0;margin-top:0;width:423.1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vH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">
                <w10:wrap anchorx="margin"/>
              </v:shape>
            </w:pict>
          </mc:Fallback>
        </mc:AlternateContent>
      </w:r>
    </w:p>
    <w:p w14:paraId="704A1545" w14:textId="57DFBC39" w:rsidR="009239E3" w:rsidRPr="005858AC" w:rsidRDefault="00FF7BA9" w:rsidP="00E17148">
      <w:pPr>
        <w:pStyle w:val="HTMLPreformatted"/>
        <w:shd w:val="clear" w:color="auto" w:fill="FFFFFF"/>
        <w:spacing w:line="360" w:lineRule="auto"/>
        <w:rPr>
          <w:rFonts w:ascii="Arial" w:hAnsi="Arial" w:cs="Arial"/>
          <w:b/>
          <w:color w:val="000000" w:themeColor="text1"/>
          <w:sz w:val="22"/>
          <w:szCs w:val="22"/>
          <w:lang w:val="en-US"/>
        </w:rPr>
      </w:pPr>
      <w:r>
        <w:rPr>
          <w:rFonts w:ascii="Arial" w:hAnsi="Arial" w:cs="Arial"/>
          <w:b/>
          <w:color w:val="000000" w:themeColor="text1"/>
          <w:sz w:val="22"/>
          <w:szCs w:val="22"/>
        </w:rPr>
        <w:t>INTRODUCTION</w:t>
      </w:r>
    </w:p>
    <w:p w14:paraId="4760C2FC" w14:textId="5B378890" w:rsidR="00492106" w:rsidRPr="00492106" w:rsidRDefault="00492106" w:rsidP="00090078">
      <w:pPr>
        <w:spacing w:line="360" w:lineRule="auto"/>
        <w:ind w:firstLine="567"/>
        <w:jc w:val="both"/>
        <w:rPr>
          <w:rFonts w:ascii="Arial" w:hAnsi="Arial" w:cs="Arial"/>
        </w:rPr>
      </w:pPr>
      <w:r w:rsidRPr="00492106">
        <w:rPr>
          <w:rFonts w:ascii="Arial" w:hAnsi="Arial" w:cs="Arial"/>
          <w:lang w:eastAsia="ko-KR"/>
        </w:rPr>
        <w:t>Disruptions in the First 1000 Days of Life phase will produce difficulties that are lasting and difficult to treat, such as stunting</w:t>
      </w:r>
      <w:r w:rsidR="00212AAE">
        <w:rPr>
          <w:rFonts w:ascii="Arial" w:hAnsi="Arial" w:cs="Arial"/>
          <w:lang w:eastAsia="ko-KR"/>
        </w:rPr>
        <w:t xml:space="preserve"> </w:t>
      </w:r>
      <w:r w:rsidRPr="00492106">
        <w:rPr>
          <w:rFonts w:ascii="Arial" w:eastAsia="Arial" w:hAnsi="Arial" w:cs="Arial"/>
        </w:rPr>
        <w:fldChar w:fldCharType="begin" w:fldLock="1"/>
      </w:r>
      <w:r w:rsidR="00843872">
        <w:rPr>
          <w:rFonts w:ascii="Arial" w:eastAsia="Arial" w:hAnsi="Arial" w:cs="Arial"/>
        </w:rPr>
        <w:instrText>ADDIN CSL_CITATION {"citationItems":[{"id":"ITEM-1","itemData":{"author":[{"dropping-particle":"","family":"BKKBN","given":"","non-dropping-particle":"","parse-names":false,"suffix":""}],"id":"ITEM-1","issued":{"date-parts":[["2021"]]},"number-of-pages":"1-107","publisher":"BKKBN","publisher-place":"Jakarta","title":"Kebijakan dan Strategi Percepatan Penurunan Stunting di Indonesia","type":"book"},"uris":["http://www.mendeley.com/documents/?uuid=c7e7ed78-7a60-41ce-9e3a-51dfd89b9aaf"]},{"id":"ITEM-2","itemData":{"DOI":"10.23886/ejki.9.2.1","ISSN":"2338-1426","abstract":"-","author":[{"dropping-particle":"","family":"Gunardi","given":"Hartono","non-dropping-particle":"","parse-names":false,"suffix":""}],"container-title":"eJournal Kedokteran Indonesia","id":"ITEM-2","issue":"1","issued":{"date-parts":[["2021"]]},"page":"1-6","title":"Optimalisasi 1000 Hari Pertama Kehidupan: Nutrisi, Kasih Sayang, Stimulasi, dan Imunisasi Merupakan Langkah Awal Mewujudkan Generasi Penerus yang Unggul","type":"article-journal","volume":"9"},"uris":["http://www.mendeley.com/documents/?uuid=9dfc6944-0a6e-4d5c-ad6c-6718cff7fd96"]}],"mendeley":{"formattedCitation":"(1,2)","plainTextFormattedCitation":"(1,2)","previouslyFormattedCitation":"(1,2)"},"properties":{"noteIndex":0},"schema":"https://github.com/citation-style-language/schema/raw/master/csl-citation.json"}</w:instrText>
      </w:r>
      <w:r w:rsidRPr="00492106">
        <w:rPr>
          <w:rFonts w:ascii="Arial" w:eastAsia="Arial" w:hAnsi="Arial" w:cs="Arial"/>
        </w:rPr>
        <w:fldChar w:fldCharType="separate"/>
      </w:r>
      <w:r w:rsidR="00540A4F" w:rsidRPr="00540A4F">
        <w:rPr>
          <w:rFonts w:ascii="Arial" w:eastAsia="Arial" w:hAnsi="Arial" w:cs="Arial"/>
          <w:noProof/>
        </w:rPr>
        <w:t>(1,2)</w:t>
      </w:r>
      <w:r w:rsidRPr="00492106">
        <w:rPr>
          <w:rFonts w:ascii="Arial" w:eastAsia="Arial" w:hAnsi="Arial" w:cs="Arial"/>
        </w:rPr>
        <w:fldChar w:fldCharType="end"/>
      </w:r>
      <w:r w:rsidRPr="00492106">
        <w:rPr>
          <w:rFonts w:ascii="Arial" w:eastAsia="Arial" w:hAnsi="Arial" w:cs="Arial"/>
        </w:rPr>
        <w:t>. Stunting results from chronic malnutrition and/or recurrent infections that cause children to be stunted according to the PB|U index</w:t>
      </w:r>
      <w:r w:rsidR="00212AAE">
        <w:rPr>
          <w:rFonts w:ascii="Arial" w:eastAsia="Arial" w:hAnsi="Arial" w:cs="Arial"/>
        </w:rPr>
        <w:t xml:space="preserve"> </w:t>
      </w:r>
      <w:r w:rsidRPr="00492106">
        <w:rPr>
          <w:rFonts w:ascii="Arial" w:hAnsi="Arial" w:cs="Arial"/>
          <w:bCs/>
        </w:rPr>
        <w:fldChar w:fldCharType="begin" w:fldLock="1"/>
      </w:r>
      <w:r w:rsidR="00843872">
        <w:rPr>
          <w:rFonts w:ascii="Arial" w:hAnsi="Arial" w:cs="Arial"/>
          <w:bCs/>
        </w:rPr>
        <w:instrText>ADDIN CSL_CITATION {"citationItems":[{"id":"ITEM-1","itemData":{"author":[{"dropping-particle":"","family":"UNICEF","given":"","non-dropping-particle":"","parse-names":false,"suffix":""},{"dropping-particle":"","family":"WHO","given":"","non-dropping-particle":"","parse-names":false,"suffix":""},{"dropping-particle":"","family":"World Bank","given":"","non-dropping-particle":"","parse-names":false,"suffix":""}],"id":"ITEM-1","issued":{"date-parts":[["2023"]]},"publisher-place":"New York","title":"Levels and Trends in Child Malnutrition: UNICEF / WHO / World Bank Group Joint Child Malnutrition Estimates: Key Findings of The 2023 Edition","type":"report"},"uris":["http://www.mendeley.com/documents/?uuid=5b265c48-2658-4a0b-9e85-0d34887bce75"]}],"mendeley":{"formattedCitation":"(3)","plainTextFormattedCitation":"(3)","previouslyFormattedCitation":"(3)"},"properties":{"noteIndex":0},"schema":"https://github.com/citation-style-language/schema/raw/master/csl-citation.json"}</w:instrText>
      </w:r>
      <w:r w:rsidRPr="00492106">
        <w:rPr>
          <w:rFonts w:ascii="Arial" w:hAnsi="Arial" w:cs="Arial"/>
          <w:bCs/>
        </w:rPr>
        <w:fldChar w:fldCharType="separate"/>
      </w:r>
      <w:r w:rsidR="00540A4F" w:rsidRPr="00540A4F">
        <w:rPr>
          <w:rFonts w:ascii="Arial" w:hAnsi="Arial" w:cs="Arial"/>
          <w:bCs/>
          <w:noProof/>
        </w:rPr>
        <w:t>(3)</w:t>
      </w:r>
      <w:r w:rsidRPr="00492106">
        <w:rPr>
          <w:rFonts w:ascii="Arial" w:hAnsi="Arial" w:cs="Arial"/>
          <w:bCs/>
        </w:rPr>
        <w:fldChar w:fldCharType="end"/>
      </w:r>
      <w:bookmarkStart w:id="0" w:name="_Hlk164888311"/>
      <w:bookmarkEnd w:id="0"/>
      <w:r w:rsidRPr="00492106">
        <w:rPr>
          <w:rFonts w:ascii="Arial" w:hAnsi="Arial" w:cs="Arial"/>
          <w:bCs/>
        </w:rPr>
        <w:t xml:space="preserve">. </w:t>
      </w:r>
      <w:r w:rsidRPr="00492106">
        <w:rPr>
          <w:rFonts w:ascii="Arial" w:hAnsi="Arial" w:cs="Arial"/>
          <w:lang w:eastAsia="ko-KR"/>
        </w:rPr>
        <w:t xml:space="preserve">The prevalence of stunting in Indonesia has decreased from 37.2% (2013) to 21.6% (2022), however it still falls short of the 14% target set in </w:t>
      </w:r>
      <w:r w:rsidR="000C4DC3">
        <w:rPr>
          <w:rFonts w:ascii="Arial" w:hAnsi="Arial" w:cs="Arial"/>
          <w:lang w:eastAsia="ko-KR"/>
        </w:rPr>
        <w:t>RPJMN</w:t>
      </w:r>
      <w:r w:rsidRPr="00492106">
        <w:rPr>
          <w:rFonts w:ascii="Arial" w:hAnsi="Arial" w:cs="Arial"/>
          <w:lang w:eastAsia="ko-KR"/>
        </w:rPr>
        <w:t xml:space="preserve"> 2020-2024</w:t>
      </w:r>
      <w:r w:rsidR="00212AAE">
        <w:rPr>
          <w:rFonts w:ascii="Arial" w:hAnsi="Arial" w:cs="Arial"/>
          <w:lang w:eastAsia="ko-KR"/>
        </w:rPr>
        <w:t xml:space="preserve"> </w:t>
      </w:r>
      <w:r w:rsidRPr="00492106">
        <w:rPr>
          <w:rFonts w:ascii="Arial" w:eastAsia="Arial" w:hAnsi="Arial" w:cs="Arial"/>
        </w:rPr>
        <w:fldChar w:fldCharType="begin" w:fldLock="1"/>
      </w:r>
      <w:r w:rsidR="00730ED8">
        <w:rPr>
          <w:rFonts w:ascii="Arial" w:eastAsia="Arial" w:hAnsi="Arial" w:cs="Arial"/>
        </w:rPr>
        <w:instrText>ADDIN CSL_CITATION {"citationItems":[{"id":"ITEM-1","itemData":{"author":[{"dropping-particle":"","family":"Kemenkes RI","given":"","non-dropping-particle":"","parse-names":false,"suffix":""}],"id":"ITEM-1","issued":{"date-parts":[["2023"]]},"number-of-pages":"1-150","publisher":"Kemenkes RI","publisher-place":"Jakarta","title":"Hasil Survei Status Gizi Indonesia (SSGI) 2022","type":"book"},"uris":["http://www.mendeley.com/documents/?uuid=85a28e8d-74e0-41ca-9a95-ec9ab51f635c"]}],"mendeley":{"formattedCitation":"(4)","plainTextFormattedCitation":"(4)","previouslyFormattedCitation":"(4)"},"properties":{"noteIndex":0},"schema":"https://github.com/citation-style-language/schema/raw/master/csl-citation.json"}</w:instrText>
      </w:r>
      <w:r w:rsidRPr="00492106">
        <w:rPr>
          <w:rFonts w:ascii="Arial" w:eastAsia="Arial" w:hAnsi="Arial" w:cs="Arial"/>
        </w:rPr>
        <w:fldChar w:fldCharType="separate"/>
      </w:r>
      <w:r w:rsidR="00540A4F" w:rsidRPr="00540A4F">
        <w:rPr>
          <w:rFonts w:ascii="Arial" w:eastAsia="Arial" w:hAnsi="Arial" w:cs="Arial"/>
          <w:noProof/>
        </w:rPr>
        <w:t>(4)</w:t>
      </w:r>
      <w:r w:rsidRPr="00492106">
        <w:rPr>
          <w:rFonts w:ascii="Arial" w:eastAsia="Arial" w:hAnsi="Arial" w:cs="Arial"/>
        </w:rPr>
        <w:fldChar w:fldCharType="end"/>
      </w:r>
      <w:r w:rsidRPr="00492106">
        <w:rPr>
          <w:rFonts w:ascii="Arial" w:eastAsia="Arial" w:hAnsi="Arial" w:cs="Arial"/>
        </w:rPr>
        <w:t>.</w:t>
      </w:r>
    </w:p>
    <w:p w14:paraId="6625241F" w14:textId="6D49A921" w:rsidR="00492106" w:rsidRPr="00492106" w:rsidRDefault="00492106" w:rsidP="00090078">
      <w:pPr>
        <w:spacing w:line="360" w:lineRule="auto"/>
        <w:ind w:firstLine="567"/>
        <w:jc w:val="both"/>
        <w:rPr>
          <w:rFonts w:ascii="Arial" w:hAnsi="Arial" w:cs="Arial"/>
        </w:rPr>
      </w:pPr>
      <w:r w:rsidRPr="00492106">
        <w:rPr>
          <w:rFonts w:ascii="Arial" w:hAnsi="Arial" w:cs="Arial"/>
        </w:rPr>
        <w:t>SSGI data (2022) shows that the stunting rate in Lampung Province is the third lowest in Indonesia at 15.2%. Still, the prevalence between districts varies widely, with the lowest rate in Central Lampung District (8.7%), the middle rate in West Pesisir District (16.4%), and the highest rate in Pesawaran District (25.1%). In addition, this prevalence continues to increase with age, with a significant increase from 10.2% (6-11 months) to 15.5% (12-23 months)</w:t>
      </w:r>
      <w:r w:rsidR="00212AAE">
        <w:rPr>
          <w:rFonts w:ascii="Arial" w:hAnsi="Arial" w:cs="Arial"/>
        </w:rPr>
        <w:t xml:space="preserve"> </w:t>
      </w:r>
      <w:r w:rsidRPr="00492106">
        <w:rPr>
          <w:rFonts w:ascii="Arial" w:eastAsia="Arial" w:hAnsi="Arial" w:cs="Arial"/>
        </w:rPr>
        <w:fldChar w:fldCharType="begin" w:fldLock="1"/>
      </w:r>
      <w:r w:rsidR="00730ED8">
        <w:rPr>
          <w:rFonts w:ascii="Arial" w:eastAsia="Arial" w:hAnsi="Arial" w:cs="Arial"/>
        </w:rPr>
        <w:instrText>ADDIN CSL_CITATION {"citationItems":[{"id":"ITEM-1","itemData":{"author":[{"dropping-particle":"","family":"Kemenkes RI","given":"","non-dropping-particle":"","parse-names":false,"suffix":""}],"id":"ITEM-1","issued":{"date-parts":[["2023"]]},"number-of-pages":"1-150","publisher":"Kemenkes RI","publisher-place":"Jakarta","title":"Hasil Survei Status Gizi Indonesia (SSGI) 2022","type":"book"},"uris":["http://www.mendeley.com/documents/?uuid=85a28e8d-74e0-41ca-9a95-ec9ab51f635c"]}],"mendeley":{"formattedCitation":"(4)","plainTextFormattedCitation":"(4)","previouslyFormattedCitation":"(4)"},"properties":{"noteIndex":0},"schema":"https://github.com/citation-style-language/schema/raw/master/csl-citation.json"}</w:instrText>
      </w:r>
      <w:r w:rsidRPr="00492106">
        <w:rPr>
          <w:rFonts w:ascii="Arial" w:eastAsia="Arial" w:hAnsi="Arial" w:cs="Arial"/>
        </w:rPr>
        <w:fldChar w:fldCharType="separate"/>
      </w:r>
      <w:r w:rsidR="00540A4F" w:rsidRPr="00540A4F">
        <w:rPr>
          <w:rFonts w:ascii="Arial" w:eastAsia="Arial" w:hAnsi="Arial" w:cs="Arial"/>
          <w:noProof/>
        </w:rPr>
        <w:t>(4)</w:t>
      </w:r>
      <w:r w:rsidRPr="00492106">
        <w:rPr>
          <w:rFonts w:ascii="Arial" w:eastAsia="Arial" w:hAnsi="Arial" w:cs="Arial"/>
        </w:rPr>
        <w:fldChar w:fldCharType="end"/>
      </w:r>
      <w:r w:rsidRPr="00492106">
        <w:rPr>
          <w:rFonts w:ascii="Arial" w:eastAsia="Arial" w:hAnsi="Arial" w:cs="Arial"/>
        </w:rPr>
        <w:t xml:space="preserve">. </w:t>
      </w:r>
      <w:r w:rsidRPr="00492106">
        <w:rPr>
          <w:rFonts w:ascii="Arial" w:hAnsi="Arial" w:cs="Arial"/>
        </w:rPr>
        <w:t>This achievement can undoubtedly be influenced by non-</w:t>
      </w:r>
      <w:r w:rsidRPr="00492106">
        <w:rPr>
          <w:rFonts w:ascii="Arial" w:hAnsi="Arial" w:cs="Arial"/>
        </w:rPr>
        <w:lastRenderedPageBreak/>
        <w:t>optimized efforts to deal with stunting due to the need for more policy regulations related to specific and sensitive nutrition interventions</w:t>
      </w:r>
      <w:r w:rsidR="00212AAE">
        <w:rPr>
          <w:rFonts w:ascii="Arial" w:hAnsi="Arial" w:cs="Arial"/>
        </w:rPr>
        <w:t xml:space="preserve"> </w:t>
      </w:r>
      <w:r w:rsidRPr="00492106">
        <w:rPr>
          <w:rFonts w:ascii="Arial" w:hAnsi="Arial" w:cs="Arial"/>
        </w:rPr>
        <w:fldChar w:fldCharType="begin" w:fldLock="1"/>
      </w:r>
      <w:r w:rsidR="00843872">
        <w:rPr>
          <w:rFonts w:ascii="Arial" w:hAnsi="Arial" w:cs="Arial"/>
        </w:rPr>
        <w:instrText>ADDIN CSL_CITATION {"citationItems":[{"id":"ITEM-1","itemData":{"abstract":"an dalam RPJMN 2020-2024. Untuk mencapai tujuan tersebut, pemerintah telah meluncurkan Strategi Nasional Percepatan Pencegahan Stunting Periode 2018-2024 sebagai acuan bersama seluruh pemangku kepentingan dalam pelaksanaan program intervensi, Perpres 72/2021 tentang Percepatan Penurunan Stunting, serta BKKBN dengan Rencana Aksi Nasional Percepatan Penurunan Stunting (RAN PASTI). Namun, implementasi atas berbagai program dan kegiatan percepatan penurunan stunting tidaklah mudah mengingat stunting merupakan masalah multi dimensi yang membutuhkan penanganan lintas sektor. Perlu komitmen, koordinasi, serta sinergi berbagai pihak untuk dapat mencapai tujuan prevalensi stunting sebesar 14% di tahun 2024. Tulisan ini disusun untuk memberikan gambaran bagaimana tingkat prevalensi stunting di Indonesia serta intervensi pemerintah (spesifik dan sensitif) untuk mencapai target prevalensi stunting sebesar 14% di Tahun 2024. Kata","author":[{"dropping-particle":"","family":"Sukmalalana","given":"","non-dropping-particle":"","parse-names":false,"suffix":""},{"dropping-particle":"","family":"Putra","given":"Hafiz Dwi","non-dropping-particle":"","parse-names":false,"suffix":""},{"dropping-particle":"","family":"Cika","given":"Vanny","non-dropping-particle":"","parse-names":false,"suffix":""}],"container-title":"Accountability Paper","id":"ITEM-1","issued":{"date-parts":[["2022"]]},"number-of-pages":"1-15","title":"Percepatan Penurunan Stunting untuk Mewujudkan Sumber Daya Manusia Indonesia yang Unggul","type":"report"},"uris":["http://www.mendeley.com/documents/?uuid=5ca2a0c1-97f5-4f89-a271-d4d05e3fec6c"]}],"mendeley":{"formattedCitation":"(5)","plainTextFormattedCitation":"(5)","previouslyFormattedCitation":"(5)"},"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(5)</w:t>
      </w:r>
      <w:r w:rsidRPr="00492106">
        <w:rPr>
          <w:rFonts w:ascii="Arial" w:hAnsi="Arial" w:cs="Arial"/>
        </w:rPr>
        <w:fldChar w:fldCharType="end"/>
      </w:r>
      <w:r w:rsidRPr="00492106">
        <w:rPr>
          <w:rFonts w:ascii="Arial" w:hAnsi="Arial" w:cs="Arial"/>
        </w:rPr>
        <w:t>.</w:t>
      </w:r>
    </w:p>
    <w:p w14:paraId="39E7ACA7" w14:textId="58D0816F" w:rsidR="00492106" w:rsidRPr="00492106" w:rsidRDefault="00492106" w:rsidP="00090078">
      <w:pPr>
        <w:spacing w:line="360" w:lineRule="auto"/>
        <w:ind w:firstLine="567"/>
        <w:jc w:val="both"/>
        <w:rPr>
          <w:rFonts w:ascii="Arial" w:hAnsi="Arial" w:cs="Arial"/>
        </w:rPr>
      </w:pPr>
      <w:r w:rsidRPr="00492106">
        <w:rPr>
          <w:rFonts w:ascii="Arial" w:hAnsi="Arial" w:cs="Arial"/>
        </w:rPr>
        <w:t xml:space="preserve">Specific nutrition interventions are activities in the health sector and short-term in addressing the direct causes of stunting through optimizing the 1000 </w:t>
      </w:r>
      <w:r w:rsidRPr="00492106">
        <w:rPr>
          <w:rFonts w:ascii="Arial" w:eastAsia="Arial" w:hAnsi="Arial" w:cs="Arial"/>
        </w:rPr>
        <w:t>Days of Life</w:t>
      </w:r>
      <w:r w:rsidRPr="00492106">
        <w:rPr>
          <w:rFonts w:ascii="Arial" w:hAnsi="Arial" w:cs="Arial"/>
        </w:rPr>
        <w:t xml:space="preserve"> period, which is structured into nine target indicators. Meanwhile, nutrition-sensitive interventions in the non-health sector address the indirect causes of stunting, consisting of eleven target indicators</w:t>
      </w:r>
      <w:r w:rsidR="00212AAE">
        <w:rPr>
          <w:rFonts w:ascii="Arial" w:hAnsi="Arial" w:cs="Arial"/>
        </w:rPr>
        <w:t xml:space="preserve"> </w:t>
      </w:r>
      <w:r w:rsidRPr="00492106">
        <w:rPr>
          <w:rFonts w:ascii="Arial" w:hAnsi="Arial" w:cs="Arial"/>
        </w:rPr>
        <w:fldChar w:fldCharType="begin" w:fldLock="1"/>
      </w:r>
      <w:r w:rsidR="00843872">
        <w:rPr>
          <w:rFonts w:ascii="Arial" w:hAnsi="Arial" w:cs="Arial"/>
        </w:rPr>
        <w:instrText>ADDIN CSL_CITATION {"citationItems":[{"id":"ITEM-1","itemData":{"abstract":"Organizations implementing XP practices can easily fit them under the SW-CMM because it represents a framework for self-improvement. However, there is a problem that organizations must address: putting XP to work in an SW-CMM environment is often difficult, because guidance on how to take advantage of existing best practices is not available while transitioning to XP.","author":[{"dropping-particle":"","family":"Presiden RI","given":"","non-dropping-particle":"","parse-names":false,"suffix":""}],"container-title":"Presiden RI","id":"ITEM-1","issued":{"date-parts":[["2021"]]},"page":"1-52","title":"Peraturan Presiden Republik Indonesia No. 72 Tahun 2021 Tentang Percepatan Penurunan Stunting","type":"legislation"},"uris":["http://www.mendeley.com/documents/?uuid=a9ece3da-c57b-418d-a111-040d8784107e"]}],"mendeley":{"formattedCitation":"(6)","plainTextFormattedCitation":"(6)","previouslyFormattedCitation":"(6)"},"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(6)</w:t>
      </w:r>
      <w:r w:rsidRPr="00492106">
        <w:rPr>
          <w:rFonts w:ascii="Arial" w:hAnsi="Arial" w:cs="Arial"/>
        </w:rPr>
        <w:fldChar w:fldCharType="end"/>
      </w:r>
      <w:r w:rsidRPr="00492106">
        <w:rPr>
          <w:rFonts w:ascii="Arial" w:hAnsi="Arial" w:cs="Arial"/>
        </w:rPr>
        <w:t>. Master Ansit's data (2022) in three districts in Lampung Province, namely Central Lampung, West Pesisir, and Pesawaran Districts, shows that Lampung Province has six indicators of stunting handling that are not optimal, so they need to be studied further. These indicators include a history of iron tblets usage during maternal pregnancy during maternal pregnancy, exclusive breastfeeding, toddler growth monitoring, complete primary immunization, access to drinking water, and sanitation</w:t>
      </w:r>
      <w:r w:rsidR="00212AAE">
        <w:rPr>
          <w:rFonts w:ascii="Arial" w:hAnsi="Arial" w:cs="Arial"/>
        </w:rPr>
        <w:t xml:space="preserve"> </w:t>
      </w:r>
      <w:r w:rsidRPr="00492106">
        <w:rPr>
          <w:rFonts w:ascii="Arial" w:hAnsi="Arial" w:cs="Arial"/>
        </w:rPr>
        <w:fldChar w:fldCharType="begin" w:fldLock="1"/>
      </w:r>
      <w:r w:rsidR="00730ED8">
        <w:rPr>
          <w:rFonts w:ascii="Arial" w:hAnsi="Arial" w:cs="Arial"/>
        </w:rPr>
        <w:instrText>ADDIN CSL_CITATION {"citationItems":[{"id":"ITEM-1","itemData":{"author":[{"dropping-particle":"","family":"Kemendagri RI","given":"","non-dropping-particle":"","parse-names":false,"suffix":""}],"id":"ITEM-1","issued":{"date-parts":[["2023"]]},"title":"Master Ansit Stunting Tahun 2022","type":"report"},"uris":["http://www.mendeley.com/documents/?uuid=1c9d4da0-7c01-4549-a72e-0e443da50811"]}],"mendeley":{"formattedCitation":"(7)","plainTextFormattedCitation":"(7)","previouslyFormattedCitation":"(7)"},"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(7)</w:t>
      </w:r>
      <w:r w:rsidRPr="00492106">
        <w:rPr>
          <w:rFonts w:ascii="Arial" w:hAnsi="Arial" w:cs="Arial"/>
        </w:rPr>
        <w:fldChar w:fldCharType="end"/>
      </w:r>
      <w:r w:rsidRPr="00492106">
        <w:rPr>
          <w:rFonts w:ascii="Arial" w:eastAsia="Arial" w:hAnsi="Arial" w:cs="Arial"/>
        </w:rPr>
        <w:t>.</w:t>
      </w:r>
    </w:p>
    <w:p w14:paraId="07D75205" w14:textId="62000C26" w:rsidR="00492106" w:rsidRPr="00492106" w:rsidRDefault="00492106" w:rsidP="00090078">
      <w:pPr>
        <w:spacing w:line="360" w:lineRule="auto"/>
        <w:ind w:firstLine="567"/>
        <w:jc w:val="both"/>
        <w:rPr>
          <w:rFonts w:ascii="Arial" w:hAnsi="Arial" w:cs="Arial"/>
        </w:rPr>
      </w:pPr>
      <w:r w:rsidRPr="00492106">
        <w:rPr>
          <w:rFonts w:ascii="Arial" w:hAnsi="Arial" w:cs="Arial"/>
        </w:rPr>
        <w:t xml:space="preserve">If not followed up quickly, the non-optimal nutrition intervention indicators may affect the stunting rate in Lampung Province. </w:t>
      </w:r>
      <w:r w:rsidRPr="00492106">
        <w:rPr>
          <w:rFonts w:ascii="Arial" w:hAnsi="Arial" w:cs="Arial"/>
          <w:lang w:eastAsia="ko-KR"/>
        </w:rPr>
        <w:t>Nisar et al. (2020) found that taking normal iron tablets reduced the risk of stunting by 14% in South Asian toddlers under the age of two</w:t>
      </w:r>
      <w:r w:rsidR="00212AAE">
        <w:rPr>
          <w:rFonts w:ascii="Arial" w:hAnsi="Arial" w:cs="Arial"/>
          <w:lang w:eastAsia="ko-KR"/>
        </w:rPr>
        <w:t xml:space="preserve"> </w:t>
      </w:r>
      <w:r w:rsidRPr="00492106">
        <w:rPr>
          <w:rFonts w:ascii="Arial" w:hAnsi="Arial" w:cs="Arial"/>
        </w:rPr>
        <w:fldChar w:fldCharType="begin" w:fldLock="1"/>
      </w:r>
      <w:r w:rsidR="00843872">
        <w:rPr>
          <w:rFonts w:ascii="Arial" w:hAnsi="Arial" w:cs="Arial"/>
        </w:rPr>
        <w:instrText>ADDIN CSL_CITATION {"citationItems":[{"id":"ITEM-1","itemData":{"DOI":"10.3390/nu12092632","ISSN":"20726643","PMID":"32872329","abstract":"In South Asia, an estimated 38% of preschool-age children have stunted growth. We aimed to assess the effect of WHO-recommended antenatal iron, and folic acid (IFA) supplements on smaller than average birth size and stunting in South Asian children &lt;2 years old. The sample was 96,512 mothers with their most recent birth within two years, from nationally representative surveys between 2005 and 2016 in seven South Asian countries. Primary outcomes were stunting [length-for-age Z-score (LAZ) &lt; –2], severe stunting [length-for-age Z-score (LAZ) &lt; –3], length-for-age Z score, and perceived smaller than average birth size. Exposure was the use of IFA supplements. We conducted analyses with Poisson, linear and logistic multivariate regression adjusted for the cluster survey design, and 14 potential confounders covering the country of the survey, socio-demographic factors, household economic status, maternal characteristics, and duration of respondent recall. The prevalence of stunting was 33%, severe stunting was 14%, and perceived smaller than average birth size was 22%. Use of antenatal IFA was associated with a reduced adjusted risk of being stunted by 8% (aRR 0.92, 95% CI 0.89, 0.95), of being severely stunted by 9% (aRR 0.91, 95% CI 0.86, 0.96) and of being smaller than average birth size by 14% (aRR 0.86, 95% CI 0.80, 0.91). The adjusted mean LAZ was significantly higher in children whose mothers used IFA supplements. Maternal use of IFA in the first four months gestation and consuming 120 or more supplements throughout pregnancy was associated with the largest reduction in risk of child stunting. Antenatal IFA supplementation was associated with a significantly reduced risk of stunting, severe stunting, and smaller than average perceived birth size and improved LAZ in young South Asian children. The early and sustained use of antenatal IFA has the potential to improve child growth outcomes in South Asia and other low-and-middle-income countries with high levels of iron deficiency in pregnancy.","author":[{"dropping-particle":"Bin","family":"Nisar","given":"Yasir","non-dropping-particle":"","parse-names":false,"suffix":""},{"dropping-particle":"","family":"Aguayo","given":"Victor M.","non-dropping-particle":"","parse-names":false,"suffix":""},{"dropping-particle":"","family":"Billah","given":"Sk Masum","non-dropping-particle":"","parse-names":false,"suffix":""},{"dropping-particle":"","family":"Dibley","given":"Michael J.","non-dropping-particle":"","parse-names":false,"suffix":""}],"container-title":"Nutrients","id":"ITEM-1","issue":"9","issued":{"date-parts":[["2020"]]},"page":"1-19","title":"Antenatal Iron-Folic Acid Supplementation Is Associated with Improved Linear Growth and Reduced Risk of Stunting or Severe Stunting in South Asian Children Less than Two Years of Age: A Pooled Analysis from Seven Countries","type":"article-journal","volume":"12"},"uris":["http://www.mendeley.com/documents/?uuid=8a038924-51f3-4a81-9f45-6b9d3880fa6f"]}],"mendeley":{"formattedCitation":"(8)","plainTextFormattedCitation":"(8)","previouslyFormattedCitation":"(8)"},"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(8)</w:t>
      </w:r>
      <w:r w:rsidRPr="00492106">
        <w:rPr>
          <w:rFonts w:ascii="Arial" w:hAnsi="Arial" w:cs="Arial"/>
        </w:rPr>
        <w:fldChar w:fldCharType="end"/>
      </w:r>
      <w:r w:rsidRPr="00492106">
        <w:rPr>
          <w:rFonts w:ascii="Arial" w:hAnsi="Arial" w:cs="Arial"/>
        </w:rPr>
        <w:t xml:space="preserve">. </w:t>
      </w:r>
      <w:r w:rsidRPr="00492106">
        <w:rPr>
          <w:rFonts w:ascii="Arial" w:hAnsi="Arial" w:cs="Arial"/>
          <w:lang w:eastAsia="ko-KR"/>
        </w:rPr>
        <w:t>Other research suggests that children who are not exclusively breastfed have a 61 times higher likelihood of developing stunting than toddlers who are exclusively breastfed</w:t>
      </w:r>
      <w:r w:rsidR="00212AAE">
        <w:rPr>
          <w:rFonts w:ascii="Arial" w:hAnsi="Arial" w:cs="Arial"/>
          <w:lang w:eastAsia="ko-KR"/>
        </w:rPr>
        <w:t xml:space="preserve"> </w:t>
      </w:r>
      <w:r w:rsidRPr="00492106">
        <w:rPr>
          <w:rFonts w:ascii="Arial" w:eastAsia="Arial" w:hAnsi="Arial" w:cs="Arial"/>
          <w:bCs/>
          <w:i/>
          <w:iCs/>
        </w:rPr>
        <w:fldChar w:fldCharType="begin" w:fldLock="1"/>
      </w:r>
      <w:r w:rsidR="00730ED8">
        <w:rPr>
          <w:rFonts w:ascii="Arial" w:eastAsia="Arial" w:hAnsi="Arial" w:cs="Arial"/>
          <w:bCs/>
          <w:i/>
          <w:iCs/>
        </w:rPr>
        <w:instrText>ADDIN CSL_CITATION {"citationItems":[{"id":"ITEM-1","itemData":{"DOI":"10.37010/mnhj.v3i1.498","abstract":"Stunting merupakan permasalahan gizi kronis yang disebabkan oleh asupan gizi yang kurang dalam waktu cukup lama akibat pemberian makanan yang tidak sesuai dengan kebutuhan. Berdasarkan data pada tahun 2018, terdapat 17 kabupaten/kota di Sumatera Selatan yang mengalami stunting pada usia balita, salah satunya adalah kota Palembang dengan prevalensi 25,90%. Penderita stunting di Kota Palembang di Kelurahan Talang Kelapa sebanyak 204 orang, di 14 Ulu sebanyak 176 orang dan di 9/10 Ulu sebanyak 139 orang. ). Stunting dapat diantisipasi dengan cara seperti ASI eksklusif hingga usia 6 bulan, makanan yang bergizi baik, pola hidup bersih dan sehat, aktivitas fisik, tumbuh kembang anak dipantau secara bertahap. Penelitian ini bertujuan untuk mengetahui hubungan ASI Eksklusif dengan kejadian Stunting pada anak balita. Penelitian ini merupakan jenis penelitian survei analitik dan pendekatan cross sectional. Sampel diambil menggunakan teknik random sampling. Analisa data menggunakan uji chi square. Hasil penelitian pada variabel pemberian ASI eksklusif didapatkan nilai p=0,02 (&lt;?=0,05). Kesimpulan dari penelitian ini yaitu ada hubungan antara ASI eksklusif dengan kejadian stunting pada anak balita usia 12-59 bulan dengan nilai p=0,002 (&lt;?=0,05). Saran dari penelitian ini yaitu bagi ibu agar dapat memberikan ASI eksklusif kepada bayinya sampai usia 6 bulan serta melanjutkan pemberian ASI sampai anak berusia 2 tahun serta melakukan deteksi dini stunting dengan mengunjungi fasilitas kesehatan petugas kesehatan di Puskesmas Merdeka hendaknya tetap mempertahankan serta meningkatkan kualitas pelayanan kesehatan di wilayah kerja setempat.","author":[{"dropping-particle":"","family":"Sampe","given":"Anita","non-dropping-particle":"","parse-names":false,"suffix":""},{"dropping-particle":"","family":"Toban","given":"Rindani Claurita","non-dropping-particle":"","parse-names":false,"suffix":""},{"dropping-particle":"","family":"Madi","given":"Monica Anung","non-dropping-particle":"","parse-names":false,"suffix":""}],"container-title":"Jurnal Ilmiah Kesehatan Sandi Husada","id":"ITEM-1","issue":"1","issued":{"date-parts":[["2020"]]},"page":"448-455","title":"Hubungan Pemberian ASI Eksklusif dengan Kejadian Stunting pada Anak Balita","type":"article-journal","volume":"11"},"uris":["http://www.mendeley.com/documents/?uuid=70b5342e-2355-4329-b590-c2c243d9bcd1"]}],"mendeley":{"formattedCitation":"(9)","plainTextFormattedCitation":"(9)","previouslyFormattedCitation":"(9)"},"properties":{"noteIndex":0},"schema":"https://github.com/citation-style-language/schema/raw/master/csl-citation.json"}</w:instrText>
      </w:r>
      <w:r w:rsidRPr="00492106">
        <w:rPr>
          <w:rFonts w:ascii="Arial" w:eastAsia="Arial" w:hAnsi="Arial" w:cs="Arial"/>
          <w:bCs/>
          <w:i/>
          <w:iCs/>
        </w:rPr>
        <w:fldChar w:fldCharType="separate"/>
      </w:r>
      <w:r w:rsidR="00540A4F" w:rsidRPr="00540A4F">
        <w:rPr>
          <w:rFonts w:ascii="Arial" w:eastAsia="Arial" w:hAnsi="Arial" w:cs="Arial"/>
          <w:bCs/>
          <w:iCs/>
          <w:noProof/>
        </w:rPr>
        <w:t>(9)</w:t>
      </w:r>
      <w:r w:rsidRPr="00492106">
        <w:rPr>
          <w:rFonts w:ascii="Arial" w:eastAsia="Arial" w:hAnsi="Arial" w:cs="Arial"/>
          <w:bCs/>
          <w:i/>
          <w:iCs/>
        </w:rPr>
        <w:fldChar w:fldCharType="end"/>
      </w:r>
      <w:r w:rsidRPr="00492106">
        <w:rPr>
          <w:rFonts w:ascii="Arial" w:eastAsia="Arial" w:hAnsi="Arial" w:cs="Arial"/>
          <w:bCs/>
          <w:i/>
          <w:iCs/>
        </w:rPr>
        <w:t xml:space="preserve">. </w:t>
      </w:r>
      <w:r w:rsidRPr="00492106">
        <w:rPr>
          <w:rFonts w:ascii="Arial" w:hAnsi="Arial" w:cs="Arial"/>
        </w:rPr>
        <w:t>A case-control study by</w:t>
      </w:r>
      <w:r w:rsidRPr="00492106">
        <w:rPr>
          <w:rFonts w:ascii="Arial" w:hAnsi="Arial" w:cs="Arial"/>
          <w:bCs/>
        </w:rPr>
        <w:t xml:space="preserve"> </w:t>
      </w:r>
      <w:r w:rsidRPr="00492106">
        <w:rPr>
          <w:rFonts w:ascii="Arial" w:hAnsi="Arial" w:cs="Arial"/>
          <w:bCs/>
        </w:rPr>
        <w:fldChar w:fldCharType="begin" w:fldLock="1"/>
      </w:r>
      <w:r w:rsidR="00843872">
        <w:rPr>
          <w:rFonts w:ascii="Arial" w:hAnsi="Arial" w:cs="Arial"/>
          <w:bCs/>
        </w:rPr>
        <w:instrText>ADDIN CSL_CITATION {"citationItems":[{"id":"ITEM-1","itemData":{"DOI":"10.34305/jikbh.v12i2.336","ISSN":"2252-9462","abstract":"Penurunan angka stunting masih menjadi priotitas utama dalam rangka tujuan pembangunan nasional. Indonesia menjadi Negara kedua dengan angka kasus stunting tertinggi kedua di Asia Tenggara setelah kamboja. Hasil survei Status Gizi Balita Indonesia (SSGBI) pada tahun 2019 menunjukkan bahwa 1 dari 3 anak di Indonesia terbukti mengalami stunting. Hal ini merupakan masalah serius mengingat sumberdaya yang paling berharga bagi suatu negara adalah sumber daya manusia. Tujuan penelitian ini adalah menganalisis hubungan antara pemantauan pertumbuhan dan pemberian makan oleh pengasuh dengan kejadian stunting pada anak panti asuhan di Kota Semarang tahun 2019. Penelitian ini menggunakan desain kuantitatif analitik melalui pendekatan case control. Populasi dalam penelitian ini adalah seluruh anak panti asuhan di Kota Semarang. Adapun jumlah sampel dalam penelitian ini adalah 48 anak stunting sebagai kelompok kasus dan 48 anak normal sebagai kelompok kontrol dengan rentang usia 8-18 tahun dan diambil secara Purposive sampling. Instrumen penelitian yang digunakan yaitu kuesioner, microtoise dan aplikasi WHO Antro Plus. Analisis data diolah dengan spss menggunakan uji statistik chi square. Hasil penelitian menunjukkan pemantauan pertumbuhan oleh pengasuh tergolong kurang baik (51.04%) dan pemberian makan tergolong kurang baik (54,17%). Uji statistik menunjukkan bahwa kejadian stunting memiliki hubungan yang signifikan dengan pemantauan pertumbuhan (p=0.025) dan pola pemberian makan (p=0.001). Diperlukan pemantauan kesehatan rutin dan edukasi dari petugas puskemas kepada pengasuh tentang cara menentukan status gizi anak dan pola asuh gizi yang benar dan baik.","author":[{"dropping-particle":"","family":"Prakoso","given":"Anom Dwi","non-dropping-particle":"","parse-names":false,"suffix":""},{"dropping-particle":"","family":"Azmiardi","given":"Akhmad","non-dropping-particle":"","parse-names":false,"suffix":""},{"dropping-particle":"","family":"Febriani","given":"Gabriela Advitri","non-dropping-particle":"","parse-names":false,"suffix":""},{"dropping-particle":"","family":"Anulus","given":"Ayu","non-dropping-particle":"","parse-names":false,"suffix":""}],"container-title":"Jurnal Ilmu Kesehatan Bhakti Husada: Health Sciences Journal","id":"ITEM-1","issue":"2","issued":{"date-parts":[["2021"]]},"page":"160-172","title":"Studi Case Control : Pemantauan Pertumbuhan, Pemberian Makan dan Hubungannya dengan Stunting pada Anak Panti Asuhan di Kota Semarang","type":"article-journal","volume":"12"},"uris":["http://www.mendeley.com/documents/?uuid=b0ca8490-bb61-4ffa-bc90-a45a51bcaa13"]}],"mendeley":{"formattedCitation":"(10)","manualFormatting":"Prakoso et al. (2021)","plainTextFormattedCitation":"(10)","previouslyFormattedCitation":"(10)"},"properties":{"noteIndex":0},"schema":"https://github.com/citation-style-language/schema/raw/master/csl-citation.json"}</w:instrText>
      </w:r>
      <w:r w:rsidRPr="00492106">
        <w:rPr>
          <w:rFonts w:ascii="Arial" w:hAnsi="Arial" w:cs="Arial"/>
          <w:bCs/>
        </w:rPr>
        <w:fldChar w:fldCharType="separate"/>
      </w:r>
      <w:r w:rsidRPr="00492106">
        <w:rPr>
          <w:rFonts w:ascii="Arial" w:hAnsi="Arial" w:cs="Arial"/>
          <w:bCs/>
          <w:noProof/>
        </w:rPr>
        <w:t>Prakoso et al. (2021)</w:t>
      </w:r>
      <w:r w:rsidRPr="00492106">
        <w:rPr>
          <w:rFonts w:ascii="Arial" w:hAnsi="Arial" w:cs="Arial"/>
          <w:bCs/>
        </w:rPr>
        <w:fldChar w:fldCharType="end"/>
      </w:r>
      <w:r w:rsidRPr="00492106">
        <w:rPr>
          <w:rFonts w:ascii="Arial" w:hAnsi="Arial" w:cs="Arial"/>
        </w:rPr>
        <w:t xml:space="preserve"> showed that children who did not conduct routine growth monitoring had a 5.04-fold chance of stunting (p-value = 0.025)</w:t>
      </w:r>
      <w:r w:rsidR="00212AAE">
        <w:rPr>
          <w:rFonts w:ascii="Arial" w:hAnsi="Arial" w:cs="Arial"/>
        </w:rPr>
        <w:t xml:space="preserve"> </w:t>
      </w:r>
      <w:r w:rsidRPr="00492106">
        <w:rPr>
          <w:rFonts w:ascii="Arial" w:hAnsi="Arial" w:cs="Arial"/>
          <w:bCs/>
        </w:rPr>
        <w:fldChar w:fldCharType="begin" w:fldLock="1"/>
      </w:r>
      <w:r w:rsidR="00843872">
        <w:rPr>
          <w:rFonts w:ascii="Arial" w:hAnsi="Arial" w:cs="Arial"/>
          <w:bCs/>
        </w:rPr>
        <w:instrText>ADDIN CSL_CITATION {"citationItems":[{"id":"ITEM-1","itemData":{"DOI":"10.34305/jikbh.v12i2.336","ISSN":"2252-9462","abstract":"Penurunan angka stunting masih menjadi priotitas utama dalam rangka tujuan pembangunan nasional. Indonesia menjadi Negara kedua dengan angka kasus stunting tertinggi kedua di Asia Tenggara setelah kamboja. Hasil survei Status Gizi Balita Indonesia (SSGBI) pada tahun 2019 menunjukkan bahwa 1 dari 3 anak di Indonesia terbukti mengalami stunting. Hal ini merupakan masalah serius mengingat sumberdaya yang paling berharga bagi suatu negara adalah sumber daya manusia. Tujuan penelitian ini adalah menganalisis hubungan antara pemantauan pertumbuhan dan pemberian makan oleh pengasuh dengan kejadian stunting pada anak panti asuhan di Kota Semarang tahun 2019. Penelitian ini menggunakan desain kuantitatif analitik melalui pendekatan case control. Populasi dalam penelitian ini adalah seluruh anak panti asuhan di Kota Semarang. Adapun jumlah sampel dalam penelitian ini adalah 48 anak stunting sebagai kelompok kasus dan 48 anak normal sebagai kelompok kontrol dengan rentang usia 8-18 tahun dan diambil secara Purposive sampling. Instrumen penelitian yang digunakan yaitu kuesioner, microtoise dan aplikasi WHO Antro Plus. Analisis data diolah dengan spss menggunakan uji statistik chi square. Hasil penelitian menunjukkan pemantauan pertumbuhan oleh pengasuh tergolong kurang baik (51.04%) dan pemberian makan tergolong kurang baik (54,17%). Uji statistik menunjukkan bahwa kejadian stunting memiliki hubungan yang signifikan dengan pemantauan pertumbuhan (p=0.025) dan pola pemberian makan (p=0.001). Diperlukan pemantauan kesehatan rutin dan edukasi dari petugas puskemas kepada pengasuh tentang cara menentukan status gizi anak dan pola asuh gizi yang benar dan baik.","author":[{"dropping-particle":"","family":"Prakoso","given":"Anom Dwi","non-dropping-particle":"","parse-names":false,"suffix":""},{"dropping-particle":"","family":"Azmiardi","given":"Akhmad","non-dropping-particle":"","parse-names":false,"suffix":""},{"dropping-particle":"","family":"Febriani","given":"Gabriela Advitri","non-dropping-particle":"","parse-names":false,"suffix":""},{"dropping-particle":"","family":"Anulus","given":"Ayu","non-dropping-particle":"","parse-names":false,"suffix":""}],"container-title":"Jurnal Ilmu Kesehatan Bhakti Husada: Health Sciences Journal","id":"ITEM-1","issue":"2","issued":{"date-parts":[["2021"]]},"page":"160-172","title":"Studi Case Control : Pemantauan Pertumbuhan, Pemberian Makan dan Hubungannya dengan Stunting pada Anak Panti Asuhan di Kota Semarang","type":"article-journal","volume":"12"},"uris":["http://www.mendeley.com/documents/?uuid=b0ca8490-bb61-4ffa-bc90-a45a51bcaa13"]}],"mendeley":{"formattedCitation":"(10)","plainTextFormattedCitation":"(10)","previouslyFormattedCitation":"(10)"},"properties":{"noteIndex":0},"schema":"https://github.com/citation-style-language/schema/raw/master/csl-citation.json"}</w:instrText>
      </w:r>
      <w:r w:rsidRPr="00492106">
        <w:rPr>
          <w:rFonts w:ascii="Arial" w:hAnsi="Arial" w:cs="Arial"/>
          <w:bCs/>
        </w:rPr>
        <w:fldChar w:fldCharType="separate"/>
      </w:r>
      <w:r w:rsidR="00540A4F" w:rsidRPr="00540A4F">
        <w:rPr>
          <w:rFonts w:ascii="Arial" w:hAnsi="Arial" w:cs="Arial"/>
          <w:bCs/>
          <w:noProof/>
        </w:rPr>
        <w:t>(10)</w:t>
      </w:r>
      <w:r w:rsidRPr="00492106">
        <w:rPr>
          <w:rFonts w:ascii="Arial" w:hAnsi="Arial" w:cs="Arial"/>
          <w:bCs/>
        </w:rPr>
        <w:fldChar w:fldCharType="end"/>
      </w:r>
      <w:r w:rsidRPr="00492106">
        <w:rPr>
          <w:rFonts w:ascii="Arial" w:hAnsi="Arial" w:cs="Arial"/>
          <w:bCs/>
        </w:rPr>
        <w:t>.</w:t>
      </w:r>
      <w:r w:rsidRPr="00492106">
        <w:rPr>
          <w:rFonts w:ascii="Arial" w:eastAsia="Arial" w:hAnsi="Arial" w:cs="Arial"/>
        </w:rPr>
        <w:t xml:space="preserve"> </w:t>
      </w:r>
      <w:r w:rsidRPr="00492106">
        <w:rPr>
          <w:rFonts w:ascii="Arial" w:hAnsi="Arial" w:cs="Arial"/>
        </w:rPr>
        <w:t>Stunting can also be managed by controlling the risk of infectious diseases by providing basic immunizations to increase body immunity</w:t>
      </w:r>
      <w:r w:rsidRPr="00492106">
        <w:rPr>
          <w:rFonts w:ascii="Arial" w:hAnsi="Arial" w:cs="Arial"/>
          <w:bCs/>
        </w:rPr>
        <w:fldChar w:fldCharType="begin" w:fldLock="1"/>
      </w:r>
      <w:r w:rsidR="00843872">
        <w:rPr>
          <w:rFonts w:ascii="Arial" w:hAnsi="Arial" w:cs="Arial"/>
          <w:bCs/>
        </w:rPr>
        <w:instrText>ADDIN CSL_CITATION {"citationItems":[{"id":"ITEM-1","itemData":{"DOI":"10.30743/stm.v6i1.376","ISSN":"2614-610X","abstract":"Status gizi balita mempunyai pengaruh yang sangat besar dalam mewujudkan sumber daya manusia yang berkualitas di masa yang akan datang. Status gizi memiliki hubungan dengan kecerdasan anak. Gizi buruk pada masa bayi dan anak, terutama yang berusia kurang dari 5 tahun, dapat mengakibatkan stunting dan kecerdasan anak. Salah satu cara untuk mencegah stunting pada balita adalah dengan memberikan imunisasi lengkap. Penelitian ini bertujuan untuk mengetahui hubungan imunisasi dengan kejadian stunting pada balita di Puskesmas Sungai Aur Kabupaten Pasaman Barat Provinsi Sumatera Barat Tahun 2021. Metode penelitian yang digunakan dalam penelitian ini adalah survei analitik dengan desain cross sectional. Data diambil menggunakan lembar checklist dari hasil wawancara langsung pada responden dan dari data kunjungan pasien yang diambil dari Puskesmas Sungai Aur Pasaman Barat berupa jumlah kunjungan pasien batita.. Balita yang tidak mendapat imunisasi lengkap masih ditemukan memiliki tubuh normal dan balita yang mendapat imunisasi lengkap ditemukan stunting. Tidak ada hubungan antara pemberian imunisasi dengan kejadian stunting. Didapati hasil uji Chi Square p = 0,12 (p &gt; 0,05) yang menunjukkan bahwa tidak ada hubungan antara imunisasi dengan kejadian stunting di Puskesmas Sungai Aur Kabupaten Pasaman Barat Provinsi Sumatera Barat tahun 2021.","author":[{"dropping-particle":"","family":"Vasera","given":"Rifana Atifa","non-dropping-particle":"","parse-names":false,"suffix":""},{"dropping-particle":"","family":"Kurniawan","given":"Budi","non-dropping-particle":"","parse-names":false,"suffix":""}],"container-title":"Jurnal Kedokteran STM (Sains dan Teknologi Medik)","id":"ITEM-1","issue":"1","issued":{"date-parts":[["2023"]]},"page":"82-90","title":"Hubungan Pemberian Imunisasi dengan Kejadian Anak Stunting di Puskesmas Sungai Aur Pasaman Barat Tahun 2021","type":"article-journal","volume":"6"},"uris":["http://www.mendeley.com/documents/?uuid=49d0a3ff-6b18-41ac-a191-9a61cf3f82b2"]}],"mendeley":{"formattedCitation":"(11)","plainTextFormattedCitation":"(11)","previouslyFormattedCitation":"(11)"},"properties":{"noteIndex":0},"schema":"https://github.com/citation-style-language/schema/raw/master/csl-citation.json"}</w:instrText>
      </w:r>
      <w:r w:rsidRPr="00492106">
        <w:rPr>
          <w:rFonts w:ascii="Arial" w:hAnsi="Arial" w:cs="Arial"/>
          <w:bCs/>
        </w:rPr>
        <w:fldChar w:fldCharType="separate"/>
      </w:r>
      <w:r w:rsidR="00540A4F" w:rsidRPr="00540A4F">
        <w:rPr>
          <w:rFonts w:ascii="Arial" w:hAnsi="Arial" w:cs="Arial"/>
          <w:bCs/>
          <w:noProof/>
        </w:rPr>
        <w:t>(11)</w:t>
      </w:r>
      <w:r w:rsidRPr="00492106">
        <w:rPr>
          <w:rFonts w:ascii="Arial" w:hAnsi="Arial" w:cs="Arial"/>
          <w:bCs/>
        </w:rPr>
        <w:fldChar w:fldCharType="end"/>
      </w:r>
      <w:r w:rsidRPr="00492106">
        <w:rPr>
          <w:rFonts w:ascii="Arial" w:hAnsi="Arial" w:cs="Arial"/>
          <w:bCs/>
        </w:rPr>
        <w:t xml:space="preserve">. </w:t>
      </w:r>
      <w:r w:rsidRPr="00492106">
        <w:rPr>
          <w:rFonts w:ascii="Arial" w:hAnsi="Arial" w:cs="Arial"/>
          <w:lang w:eastAsia="ko-KR"/>
        </w:rPr>
        <w:t>Previous research has found a relationship between primary immunization status and the prevalence of stunting in toddlers</w:t>
      </w:r>
      <w:r w:rsidR="00212AAE">
        <w:rPr>
          <w:rFonts w:ascii="Arial" w:hAnsi="Arial" w:cs="Arial"/>
          <w:lang w:eastAsia="ko-KR"/>
        </w:rPr>
        <w:t xml:space="preserve"> </w:t>
      </w:r>
      <w:r w:rsidRPr="00492106">
        <w:rPr>
          <w:rFonts w:ascii="Arial" w:eastAsia="Arial" w:hAnsi="Arial" w:cs="Arial"/>
          <w:bCs/>
        </w:rPr>
        <w:fldChar w:fldCharType="begin" w:fldLock="1"/>
      </w:r>
      <w:r w:rsidR="00730ED8">
        <w:rPr>
          <w:rFonts w:ascii="Arial" w:eastAsia="Arial" w:hAnsi="Arial" w:cs="Arial"/>
          <w:bCs/>
        </w:rPr>
        <w:instrText>ADDIN CSL_CITATION {"citationItems":[{"id":"ITEM-1","itemData":{"DOI":"10.32763/juke.v13i2.267","ISSN":"1907-6401","abstract":"Stunting merupakan kondisi gagal tumbuh pada anak akibat kekurangan gizi kronis sejak dalam kandungan sampai usia 2 tahun sehingga anak terlalu pendek untuk usianya. Data Riskesdas prevalensi stunting secara nasional tahun 2007 sebesar 36,8 %, tahun 2013 sebesar 37, 2% dan tahun 2018 sebesar 30,8% . Tujuan penelitian untuk mengetahui hubungan panjang badan lahir dan riwayat imunisasi dasar dengan kejadian stunting pada balita. Jenis penelitian ini adalah deskriptif dengan metode study literatur review jenis narrative review. Populasi penelitian ini Anak balita umur 12–59 bulan. Sampel penelitian dengan literatur yang diambil saat study literature review. Tahapan pengumpulan data berpedoman pada studi study literature review. Hasil penelitian ada hubungan panjang badan lahir dan riwayat imunisasi dasar dengan kejadian stunting dimana panjang badan lahir dapat memicu stunting dan riwayat imunisasi dasar yang tidak lengkap berisiko terjadinya stunitng. Kesimpulan diketahui mayoritas kejadian stunting terjadi pada anak balita. Disarankan kepada petugas kesehatan lebih meningkatkan upaya untuk mencegah stunitng di wilayah kerjanya masing-masing.","author":[{"dropping-particle":"","family":"Doni","given":"Alsri Windra","non-dropping-particle":"","parse-names":false,"suffix":""},{"dropping-particle":"","family":"Yusefni","given":"Elda","non-dropping-particle":"","parse-names":false,"suffix":""},{"dropping-particle":"","family":"Susanti","given":"Dewi","non-dropping-particle":"","parse-names":false,"suffix":""},{"dropping-particle":"","family":"Wulandari","given":"Putri Kartika","non-dropping-particle":"","parse-names":false,"suffix":""}],"container-title":"Jurnal Kesehatan","id":"ITEM-1","issue":"2","issued":{"date-parts":[["2020"]]},"page":"118-131","title":"Hubungan Panjang Badan Lahir dan Riwayat Imunisasi Dasar dengan Kejadian Stunting Balita","type":"article-journal","volume":"13"},"uris":["http://www.mendeley.com/documents/?uuid=a53c22f4-c660-4113-8db9-c88869f6287c"]}],"mendeley":{"formattedCitation":"(12)","plainTextFormattedCitation":"(12)","previouslyFormattedCitation":"(12)"},"properties":{"noteIndex":0},"schema":"https://github.com/citation-style-language/schema/raw/master/csl-citation.json"}</w:instrText>
      </w:r>
      <w:r w:rsidRPr="00492106">
        <w:rPr>
          <w:rFonts w:ascii="Arial" w:eastAsia="Arial" w:hAnsi="Arial" w:cs="Arial"/>
          <w:bCs/>
        </w:rPr>
        <w:fldChar w:fldCharType="separate"/>
      </w:r>
      <w:r w:rsidR="00540A4F" w:rsidRPr="00540A4F">
        <w:rPr>
          <w:rFonts w:ascii="Arial" w:eastAsia="Arial" w:hAnsi="Arial" w:cs="Arial"/>
          <w:bCs/>
          <w:noProof/>
        </w:rPr>
        <w:t>(12)</w:t>
      </w:r>
      <w:r w:rsidRPr="00492106">
        <w:rPr>
          <w:rFonts w:ascii="Arial" w:eastAsia="Arial" w:hAnsi="Arial" w:cs="Arial"/>
          <w:bCs/>
        </w:rPr>
        <w:fldChar w:fldCharType="end"/>
      </w:r>
      <w:r w:rsidRPr="00492106">
        <w:rPr>
          <w:rFonts w:ascii="Arial" w:eastAsia="Arial" w:hAnsi="Arial" w:cs="Arial"/>
          <w:bCs/>
        </w:rPr>
        <w:t>.</w:t>
      </w:r>
      <w:r w:rsidRPr="00492106">
        <w:rPr>
          <w:rFonts w:ascii="Arial" w:hAnsi="Arial" w:cs="Arial"/>
          <w:lang w:eastAsia="ko-KR"/>
        </w:rPr>
        <w:t xml:space="preserve"> According to Olo et al. (2021), the majority of stunted toddlers in rural regions have access to hazardous drinking water</w:t>
      </w:r>
      <w:r w:rsidR="00212AAE">
        <w:rPr>
          <w:rFonts w:ascii="Arial" w:hAnsi="Arial" w:cs="Arial"/>
          <w:lang w:eastAsia="ko-KR"/>
        </w:rPr>
        <w:t xml:space="preserve"> </w:t>
      </w:r>
      <w:r w:rsidRPr="00492106">
        <w:rPr>
          <w:rFonts w:ascii="Arial" w:hAnsi="Arial" w:cs="Arial"/>
          <w:shd w:val="clear" w:color="auto" w:fill="FFFFFF"/>
        </w:rPr>
        <w:fldChar w:fldCharType="begin" w:fldLock="1"/>
      </w:r>
      <w:r w:rsidR="00730ED8">
        <w:rPr>
          <w:rFonts w:ascii="Arial" w:hAnsi="Arial" w:cs="Arial"/>
          <w:shd w:val="clear" w:color="auto" w:fill="FFFFFF"/>
        </w:rPr>
        <w:instrText>ADDIN CSL_CITATION {"citationItems":[{"id":"ITEM-1","itemData":{"DOI":"10.31004/obsesi.v5i2.521","ISSN":"2356-1327","abstract":"Penelitian ini bertujuan untuk mendeskripsikan bagaimana penerapan penilaian otentik yang diterapkan dalam pembelajaran di Taman Kanak-kanak Negeri II Padang. Jenis penelitian yang digunakan adalah deskriptif dengan pendekatan kualitatif. Kenyataannya, ada beberapa fakta penerapan penilaian otentik khususnya guru-guru TK belum sepenuhnya memahami konsep penilaian otentik. Penelitian ini bertujuan untuk mengetahui penerapan penilaian otentik di Taman Kanak-kanak Negeri II Padang. Pengumpulan dengan format observasi, wawancara, dan dokumentasi. Data dianalisis dengan menggunakan teknik analisis data Miles dan Huberman.Hasil penelitian dapat disimpulkan bahwa: (1) Perencanaan yang dibuat oleh guru sudah ada penilaian sesuai dengan KD dan indikator, tetapi belum semua aspek perkembangan; (2) Proses pelaksanaan penilaian otentik sebagian sudah dilaksanakan oleh guru; (3) Hasil penilaian otentik yang dilakukan setiap hari sesuai dengan intrumen, catatan anekdot, dan hasil karya anak ,tetapi belum direkap oleh guru.","author":[{"dropping-particle":"","family":"Olo","given":"Annita","non-dropping-particle":"","parse-names":false,"suffix":""},{"dropping-particle":"","family":"Mediani","given":"Henny Suzana","non-dropping-particle":"","parse-names":false,"suffix":""},{"dropping-particle":"","family":"Rakhmawati","given":"Windy","non-dropping-particle":"","parse-names":false,"suffix":""}],"container-title":"Jurnal Obsesi : Jurnal Pendidikan Anak Usia Dini","id":"ITEM-1","issue":"2","issued":{"date-parts":[["2021"]]},"page":"1113- 1126","title":"Hubungan Faktor Air dan Sanitasi dengan Kejadian Stunting pada Balita di Indonesia","type":"article-journal","volume":"5"},"uris":["http://www.mendeley.com/documents/?uuid=86fc78ee-df47-4d4f-b0e7-3bdf56b14154"]}],"mendeley":{"formattedCitation":"(13)","plainTextFormattedCitation":"(13)","previouslyFormattedCitation":"(13)"},"properties":{"noteIndex":0},"schema":"https://github.com/citation-style-language/schema/raw/master/csl-citation.json"}</w:instrText>
      </w:r>
      <w:r w:rsidRPr="00492106">
        <w:rPr>
          <w:rFonts w:ascii="Arial" w:hAnsi="Arial" w:cs="Arial"/>
          <w:shd w:val="clear" w:color="auto" w:fill="FFFFFF"/>
        </w:rPr>
        <w:fldChar w:fldCharType="separate"/>
      </w:r>
      <w:r w:rsidR="00540A4F" w:rsidRPr="00540A4F">
        <w:rPr>
          <w:rFonts w:ascii="Arial" w:hAnsi="Arial" w:cs="Arial"/>
          <w:noProof/>
          <w:shd w:val="clear" w:color="auto" w:fill="FFFFFF"/>
        </w:rPr>
        <w:t>(13)</w:t>
      </w:r>
      <w:r w:rsidRPr="00492106">
        <w:rPr>
          <w:rFonts w:ascii="Arial" w:hAnsi="Arial" w:cs="Arial"/>
          <w:shd w:val="clear" w:color="auto" w:fill="FFFFFF"/>
        </w:rPr>
        <w:fldChar w:fldCharType="end"/>
      </w:r>
      <w:r w:rsidRPr="00492106">
        <w:rPr>
          <w:rFonts w:ascii="Arial" w:hAnsi="Arial" w:cs="Arial"/>
          <w:shd w:val="clear" w:color="auto" w:fill="FFFFFF"/>
        </w:rPr>
        <w:t xml:space="preserve">. </w:t>
      </w:r>
      <w:r w:rsidRPr="00492106">
        <w:rPr>
          <w:rFonts w:ascii="Arial" w:hAnsi="Arial" w:cs="Arial"/>
          <w:lang w:eastAsia="ko-KR"/>
        </w:rPr>
        <w:t>Furthermore, inadequate sanitation, such as a lack of latrines and feces disposal sites, might have an impact on toddlers' nutritional condition by increasing the risk of infectious diseases</w:t>
      </w:r>
      <w:r w:rsidR="00212AAE">
        <w:rPr>
          <w:rFonts w:ascii="Arial" w:hAnsi="Arial" w:cs="Arial"/>
          <w:lang w:eastAsia="ko-KR"/>
        </w:rPr>
        <w:t xml:space="preserve"> </w:t>
      </w:r>
      <w:r w:rsidRPr="00492106">
        <w:rPr>
          <w:rFonts w:ascii="Arial" w:hAnsi="Arial" w:cs="Arial"/>
        </w:rPr>
        <w:fldChar w:fldCharType="begin" w:fldLock="1"/>
      </w:r>
      <w:r w:rsidR="00730ED8">
        <w:rPr>
          <w:rFonts w:ascii="Arial" w:hAnsi="Arial" w:cs="Arial"/>
        </w:rPr>
        <w:instrText>ADDIN CSL_CITATION {"citationItems":[{"id":"ITEM-1","itemData":{"DOI":"10.2473/amnt.v3i3.2019.164-170","abstract":"Background: In 2017 prevalence of stunting in, Indonesia reached 29.6% and Bondowoso District was one of district that contributes the third higher prevalence, amounted 38.3%. One of underlying cause of stunting were water, sanitation and hygiene (WASH). Objectives: This research aims to analyze the correlation between WASH with stunting among children aged 24 - 59 months in working area of Kotakulon Public Health Center, Bondowoso District. Methods: This was an observational analytic study with case-control design. The sample size of this research was 66 children aged 24 to 59 months in working area of Kotakulon Public Health Center, Bondowoso District. This case-control study consisted of 33 children in case group and 33 children sample of contro groupl. The dependent variable was stunting status, while the independent variables were drinking water source, quality of drinking water, the ownership of lathrines, and mother’s handwashing habits. The data were analyzed using chi-square test. Results: Hand washing habit (p&lt;0.001; OR=0.12) was a risk factor of stunting in under-five years old which has risk 0.12 times higher for mother that has a poor handwashing habit, while drinking water source (p=0.41), quality of drinking source (p=0.58), the ownership of lathrines (p=0.22) were not accunted as a risk of stunting. Conclusions: A poor handwashing habit in mother contribute to stunting in working area of Kotakulon Public Health Center, Bondowoso District.","author":[{"dropping-particle":"","family":"Sinatrya","given":"Alfadhila Khairil","non-dropping-particle":"","parse-names":false,"suffix":""},{"dropping-particle":"","family":"Muniroh","given":"Lailatul","non-dropping-particle":"","parse-names":false,"suffix":""}],"container-title":"Amerta Nutrition","id":"ITEM-1","issue":"3","issued":{"date-parts":[["2019"]]},"page":"164-170","title":"Hubungan Faktor Water, Sanitation, and Hygiene (WASH) dengan Stunting di Wilayah Kerja Puskesmas Kotakulon, Kabupaten Bondowoso","type":"article-journal","volume":"3"},"uris":["http://www.mendeley.com/documents/?uuid=f159758f-f085-4eb1-94fe-02e052a6dd74"]}],"mendeley":{"formattedCitation":"(14)","plainTextFormattedCitation":"(14)","previouslyFormattedCitation":"(14)"},"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(14)</w:t>
      </w:r>
      <w:r w:rsidRPr="00492106">
        <w:rPr>
          <w:rFonts w:ascii="Arial" w:hAnsi="Arial" w:cs="Arial"/>
        </w:rPr>
        <w:fldChar w:fldCharType="end"/>
      </w:r>
      <w:r w:rsidRPr="00492106">
        <w:rPr>
          <w:rFonts w:ascii="Arial" w:hAnsi="Arial" w:cs="Arial"/>
        </w:rPr>
        <w:t>.</w:t>
      </w:r>
    </w:p>
    <w:p w14:paraId="6A724B00" w14:textId="77777777" w:rsidR="00492106" w:rsidRPr="00492106" w:rsidRDefault="00492106" w:rsidP="00090078">
      <w:pPr>
        <w:spacing w:line="360" w:lineRule="auto"/>
        <w:ind w:firstLine="567"/>
        <w:jc w:val="both"/>
        <w:rPr>
          <w:rFonts w:ascii="Arial" w:hAnsi="Arial" w:cs="Arial"/>
        </w:rPr>
      </w:pPr>
      <w:r w:rsidRPr="00492106">
        <w:rPr>
          <w:rFonts w:ascii="Arial" w:hAnsi="Arial" w:cs="Arial"/>
          <w:lang w:eastAsia="ko-KR"/>
        </w:rPr>
        <w:t>Several factors can influence the occurrence of stunting, as well as the presence of a major discrepancy in the incidence of stunting, require further investigation.</w:t>
      </w:r>
      <w:r w:rsidRPr="00492106">
        <w:rPr>
          <w:rFonts w:ascii="Arial" w:hAnsi="Arial" w:cs="Arial"/>
        </w:rPr>
        <w:t xml:space="preserve"> </w:t>
      </w:r>
      <w:r w:rsidRPr="00492106">
        <w:rPr>
          <w:rFonts w:ascii="Arial" w:hAnsi="Arial" w:cs="Arial"/>
          <w:lang w:eastAsia="ko-KR"/>
        </w:rPr>
        <w:t>As a result, the purpose of this study is to examine the major factors influencing stunting incidence among toddlers aged 12-13 months as a result of poor stunting management in Lampung Province, so that it may be used as a first step in developing follow-up suggestions for future program design.</w:t>
      </w:r>
    </w:p>
    <w:p w14:paraId="2D7A37E0" w14:textId="77777777" w:rsidR="000E326B" w:rsidRPr="00492106" w:rsidRDefault="000E326B" w:rsidP="000E326B">
      <w:pPr>
        <w:suppressAutoHyphens/>
        <w:autoSpaceDE w:val="0"/>
        <w:autoSpaceDN w:val="0"/>
        <w:adjustRightInd w:val="0"/>
        <w:spacing w:after="0" w:line="360" w:lineRule="auto"/>
        <w:ind w:firstLine="720"/>
        <w:jc w:val="both"/>
        <w:textAlignment w:val="center"/>
        <w:rPr>
          <w:rFonts w:ascii="Arial" w:hAnsi="Arial" w:cs="Arial"/>
          <w:color w:val="000000"/>
        </w:rPr>
      </w:pPr>
    </w:p>
    <w:p w14:paraId="76E2F5E9" w14:textId="3C00F18B" w:rsidR="00F74297" w:rsidRPr="005858AC" w:rsidRDefault="00E36C3E" w:rsidP="00FF7BA9">
      <w:pPr>
        <w:spacing w:line="360" w:lineRule="auto"/>
        <w:jc w:val="both"/>
        <w:rPr>
          <w:rFonts w:ascii="Arial" w:hAnsi="Arial" w:cs="Arial"/>
          <w:b/>
          <w:color w:val="000000" w:themeColor="text1"/>
          <w:lang w:val="en-US"/>
        </w:rPr>
      </w:pPr>
      <w:r w:rsidRPr="00FF7BA9">
        <w:rPr>
          <w:rFonts w:ascii="Arial" w:hAnsi="Arial" w:cs="Arial"/>
          <w:b/>
          <w:color w:val="000000" w:themeColor="text1"/>
        </w:rPr>
        <w:lastRenderedPageBreak/>
        <w:t>MATERIALS AND METHODS</w:t>
      </w:r>
    </w:p>
    <w:p w14:paraId="5E4461CD" w14:textId="77777777" w:rsidR="00492106" w:rsidRPr="00492106" w:rsidRDefault="000E326B" w:rsidP="00492106">
      <w:pPr>
        <w:spacing w:line="360" w:lineRule="auto"/>
        <w:ind w:firstLine="567"/>
        <w:jc w:val="both"/>
        <w:rPr>
          <w:rFonts w:ascii="Arial" w:hAnsi="Arial" w:cs="Arial"/>
          <w:bCs/>
        </w:rPr>
      </w:pPr>
      <w:r w:rsidRPr="00492106">
        <w:rPr>
          <w:rFonts w:ascii="Arial" w:hAnsi="Arial" w:cs="Arial"/>
        </w:rPr>
        <w:tab/>
      </w:r>
      <w:r w:rsidR="00492106" w:rsidRPr="00492106">
        <w:rPr>
          <w:rFonts w:ascii="Arial" w:hAnsi="Arial" w:cs="Arial"/>
          <w:lang w:eastAsia="ko-KR"/>
        </w:rPr>
        <w:t>This study utilized a cross-sectional design with secondary data from SSGI 2022. The study was conducted from February to April 2024 on 1.929 children aged 12-23 months chosen by purposive sampling from all children under five who were recruited by SSGI 2022 in 15 districts/cities in Lampung Province</w:t>
      </w:r>
      <w:r w:rsidR="00492106" w:rsidRPr="00492106">
        <w:rPr>
          <w:rFonts w:ascii="Arial" w:hAnsi="Arial" w:cs="Arial"/>
          <w:bCs/>
        </w:rPr>
        <w:t xml:space="preserve">: Central Lampung, South Lampung, North Lampung, East Lampung, West Lampung, Tulang Bawang, West Tulang Bawang, Mesuji, Tanggamus, Pesawaran, Pringsewu, West Coast, Way Kanan, Metro, and Bandar Lampung.  Secondary data for SSGI 2022 was obtained through data requests addressed to the Head of the Center for Data and Information Technology of the Ministry of Health of the Republic of Indonesia by attaching a data request form, a letter requesting the use of data, a cover letter from the institution, and a research proposal that has been authorized through the BKPK website. </w:t>
      </w:r>
    </w:p>
    <w:p w14:paraId="0068E006" w14:textId="07FCD5A9" w:rsidR="00492106" w:rsidRPr="00492106" w:rsidRDefault="00492106" w:rsidP="00492106">
      <w:pPr>
        <w:spacing w:line="360" w:lineRule="auto"/>
        <w:ind w:firstLine="567"/>
        <w:jc w:val="both"/>
        <w:rPr>
          <w:rFonts w:ascii="Arial" w:hAnsi="Arial" w:cs="Arial"/>
          <w:bCs/>
        </w:rPr>
      </w:pPr>
      <w:r w:rsidRPr="00492106">
        <w:rPr>
          <w:rFonts w:ascii="Arial" w:hAnsi="Arial" w:cs="Arial"/>
        </w:rPr>
        <w:t>The incidence of stunting is determined from the calculation of PB|U using WHO Anthro software by entering data on date of birth, date of measurement, and anthropometric data measuring height according to the respondent's measuring position. The calculation results were then categorized into stunting if &lt; - 2SD and not stunting if ≥ -2SD</w:t>
      </w:r>
      <w:r w:rsidRPr="00492106">
        <w:rPr>
          <w:rFonts w:ascii="Arial" w:hAnsi="Arial" w:cs="Arial"/>
          <w:bCs/>
        </w:rPr>
        <w:fldChar w:fldCharType="begin" w:fldLock="1"/>
      </w:r>
      <w:r w:rsidR="00843872">
        <w:rPr>
          <w:rFonts w:ascii="Arial" w:hAnsi="Arial" w:cs="Arial"/>
          <w:bCs/>
        </w:rPr>
        <w:instrText>ADDIN CSL_CITATION {"citationItems":[{"id":"ITEM-1","itemData":{"ISBN":"9789896540821","author":[{"dropping-particle":"","family":"Kemenkes RI","given":"","non-dropping-particle":"","parse-names":false,"suffix":""}],"id":"ITEM-1","issued":{"date-parts":[["2020"]]},"page":"1-78","title":"Peraturan Menteri Kesehatan Nomor 2 Tahun 2020 tentang Standar Antropometri Anak","type":"legislation"},"uris":["http://www.mendeley.com/documents/?uuid=23977d83-d528-4104-88ef-2fee8ca08850"]}],"mendeley":{"formattedCitation":"(15)","plainTextFormattedCitation":"(15)","previouslyFormattedCitation":"(15)"},"properties":{"noteIndex":0},"schema":"https://github.com/citation-style-language/schema/raw/master/csl-citation.json"}</w:instrText>
      </w:r>
      <w:r w:rsidRPr="00492106">
        <w:rPr>
          <w:rFonts w:ascii="Arial" w:hAnsi="Arial" w:cs="Arial"/>
          <w:bCs/>
        </w:rPr>
        <w:fldChar w:fldCharType="separate"/>
      </w:r>
      <w:r w:rsidR="00540A4F" w:rsidRPr="00540A4F">
        <w:rPr>
          <w:rFonts w:ascii="Arial" w:hAnsi="Arial" w:cs="Arial"/>
          <w:bCs/>
          <w:noProof/>
        </w:rPr>
        <w:t>(15)</w:t>
      </w:r>
      <w:r w:rsidRPr="00492106">
        <w:rPr>
          <w:rFonts w:ascii="Arial" w:hAnsi="Arial" w:cs="Arial"/>
          <w:bCs/>
        </w:rPr>
        <w:fldChar w:fldCharType="end"/>
      </w:r>
      <w:r w:rsidRPr="00492106">
        <w:rPr>
          <w:rFonts w:ascii="Arial" w:hAnsi="Arial" w:cs="Arial"/>
          <w:bCs/>
        </w:rPr>
        <w:t xml:space="preserve">. </w:t>
      </w:r>
      <w:r w:rsidRPr="00492106">
        <w:rPr>
          <w:rFonts w:ascii="Arial" w:hAnsi="Arial" w:cs="Arial"/>
        </w:rPr>
        <w:t>Iron tablets status was determined by identifying the amount of iron tablets consumed by the respondent's mother during pregnancy, which could come from the government or be purchased by herself, categorized as appropriate if ≥ 90 tablets and inappropriate if &lt; 90 tablets</w:t>
      </w:r>
      <w:r w:rsidRPr="00492106">
        <w:rPr>
          <w:rFonts w:ascii="Arial" w:hAnsi="Arial" w:cs="Arial"/>
          <w:bCs/>
        </w:rPr>
        <w:fldChar w:fldCharType="begin" w:fldLock="1"/>
      </w:r>
      <w:r w:rsidR="00730ED8">
        <w:rPr>
          <w:rFonts w:ascii="Arial" w:hAnsi="Arial" w:cs="Arial"/>
          <w:bCs/>
        </w:rPr>
        <w:instrText>ADDIN CSL_CITATION {"citationItems":[{"id":"ITEM-1","itemData":{"ISBN":"978-602-235-740-7","abstract":"Predicting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RI","given":"","non-dropping-particle":"","parse-names":false,"suffix":""}],"id":"ITEM-1","issued":{"date-parts":[["2015"]]},"number-of-pages":"46","publisher":"Kemenkes RI","publisher-place":"Jakarta","title":"Pedoman Penatalaksanaan Pemberian Tablet Tambah Darah","type":"book"},"uris":["http://www.mendeley.com/documents/?uuid=5f41fe09-e100-4389-97ce-9e47d5c6df9d"]}],"mendeley":{"formattedCitation":"(16)","plainTextFormattedCitation":"(16)","previouslyFormattedCitation":"(16)"},"properties":{"noteIndex":0},"schema":"https://github.com/citation-style-language/schema/raw/master/csl-citation.json"}</w:instrText>
      </w:r>
      <w:r w:rsidRPr="00492106">
        <w:rPr>
          <w:rFonts w:ascii="Arial" w:hAnsi="Arial" w:cs="Arial"/>
          <w:bCs/>
        </w:rPr>
        <w:fldChar w:fldCharType="separate"/>
      </w:r>
      <w:r w:rsidR="00540A4F" w:rsidRPr="00540A4F">
        <w:rPr>
          <w:rFonts w:ascii="Arial" w:hAnsi="Arial" w:cs="Arial"/>
          <w:bCs/>
          <w:noProof/>
        </w:rPr>
        <w:t>(16)</w:t>
      </w:r>
      <w:r w:rsidRPr="00492106">
        <w:rPr>
          <w:rFonts w:ascii="Arial" w:hAnsi="Arial" w:cs="Arial"/>
          <w:bCs/>
        </w:rPr>
        <w:fldChar w:fldCharType="end"/>
      </w:r>
      <w:r w:rsidRPr="00492106">
        <w:rPr>
          <w:rFonts w:ascii="Arial" w:hAnsi="Arial" w:cs="Arial"/>
          <w:bCs/>
        </w:rPr>
        <w:t xml:space="preserve">. </w:t>
      </w:r>
      <w:r w:rsidRPr="00492106">
        <w:rPr>
          <w:rFonts w:ascii="Arial" w:hAnsi="Arial" w:cs="Arial"/>
          <w:lang w:eastAsia="ko-KR"/>
        </w:rPr>
        <w:t>Breastfeeding status was measured by how long the respondent had been breastfed before being exposed to food or drink other than breast milk. The results were classified as exclusive breastfeeding if  = 6 months and non-exclusive breastfeeding if &lt; 6 months</w:t>
      </w:r>
      <w:r w:rsidRPr="00492106">
        <w:rPr>
          <w:rFonts w:ascii="Arial" w:hAnsi="Arial" w:cs="Arial"/>
          <w:bCs/>
        </w:rPr>
        <w:fldChar w:fldCharType="begin" w:fldLock="1"/>
      </w:r>
      <w:r w:rsidR="00730ED8">
        <w:rPr>
          <w:rFonts w:ascii="Arial" w:hAnsi="Arial" w:cs="Arial"/>
          <w:bCs/>
        </w:rPr>
        <w:instrText>ADDIN CSL_CITATION {"citationItems":[{"id":"ITEM-1","itemData":{"ISBN":"078-602-416-864-3","author":[{"dropping-particle":"","family":"Kemenkes RI","given":"","non-dropping-particle":"","parse-names":false,"suffix":""}],"id":"ITEM-1","issued":{"date-parts":[["2020"]]},"number-of-pages":"1-129","publisher":"Kemenkes RI","publisher-place":"Jakarta","title":"Pedoman Pemberian Makan Bayi dan Anak (PMBA)","type":"book"},"uris":["http://www.mendeley.com/documents/?uuid=9452238e-bdaa-4a39-9429-31a832ab2abf"]}],"mendeley":{"formattedCitation":"(17)","plainTextFormattedCitation":"(17)","previouslyFormattedCitation":"(17)"},"properties":{"noteIndex":0},"schema":"https://github.com/citation-style-language/schema/raw/master/csl-citation.json"}</w:instrText>
      </w:r>
      <w:r w:rsidRPr="00492106">
        <w:rPr>
          <w:rFonts w:ascii="Arial" w:hAnsi="Arial" w:cs="Arial"/>
          <w:bCs/>
        </w:rPr>
        <w:fldChar w:fldCharType="separate"/>
      </w:r>
      <w:r w:rsidR="00540A4F" w:rsidRPr="00540A4F">
        <w:rPr>
          <w:rFonts w:ascii="Arial" w:hAnsi="Arial" w:cs="Arial"/>
          <w:bCs/>
          <w:noProof/>
        </w:rPr>
        <w:t>(17)</w:t>
      </w:r>
      <w:r w:rsidRPr="00492106">
        <w:rPr>
          <w:rFonts w:ascii="Arial" w:hAnsi="Arial" w:cs="Arial"/>
          <w:bCs/>
        </w:rPr>
        <w:fldChar w:fldCharType="end"/>
      </w:r>
      <w:r w:rsidRPr="00492106">
        <w:rPr>
          <w:rFonts w:ascii="Arial" w:hAnsi="Arial" w:cs="Arial"/>
          <w:bCs/>
        </w:rPr>
        <w:t xml:space="preserve">. </w:t>
      </w:r>
      <w:r w:rsidRPr="00492106">
        <w:rPr>
          <w:rFonts w:ascii="Arial" w:hAnsi="Arial" w:cs="Arial"/>
        </w:rPr>
        <w:t>Growth monitoring status was determined by identifying the frequency of weighing and measuring the length/height of respondents in the last 12 months, categorized as routine if ≥ 8 times and not routine if &lt; 8 times</w:t>
      </w:r>
      <w:r w:rsidRPr="00492106">
        <w:rPr>
          <w:rFonts w:ascii="Arial" w:hAnsi="Arial" w:cs="Arial"/>
          <w:bCs/>
        </w:rPr>
        <w:fldChar w:fldCharType="begin" w:fldLock="1"/>
      </w:r>
      <w:r w:rsidR="00730ED8">
        <w:rPr>
          <w:rFonts w:ascii="Arial" w:hAnsi="Arial" w:cs="Arial"/>
          <w:bCs/>
        </w:rPr>
        <w:instrText>ADDIN CSL_CITATION {"citationItems":[{"id":"ITEM-1","itemData":{"ISBN":"9788578110796","ISSN":"1098-6596","PMID":"25246403","abstract":"Dalam Peraturan Menteri ini yang dimaksud dengan: 1. Anak adalah seseorang yang sampai berusia 18 tahun, termasuk anak yang masih dalam kandungan. 2. Bayi adalah anak mulai umur 0 sampai 11 bulan. 3. Anak Balita adalah anak umur 12 bulan sampai dengan 59 bulan. 4. Anak Prasekolah adalah anak umur 60 bulan sampai 72 bulan. 5. Pertumbuhan adalah bertambahnya ukuran dan jumlah sel serta jaringan interselular, berarti bertambahnya ukuran fisik dan struktur tubuh sebagian atau keseluruhan, sehingga dapat diukur dengan satuan panjang dan berat. 6. Perkembangan ...","author":[{"dropping-particle":"","family":"Kemenkes RI","given":"","non-dropping-particle":"","parse-names":false,"suffix":""}],"container-title":"Kemenkes RI","id":"ITEM-1","issued":{"date-parts":[["2014"]]},"page":"1-365","title":"Peraturan Menteri Kesehatan No 66 Tahun 2014 tentang Pemantauan Pertumbuhan, Perkembangan, dan Gangguan Tumbuh Kembang Anak","type":"legislation"},"uris":["http://www.mendeley.com/documents/?uuid=63b610e7-3a36-4fee-81df-fd3147921f44"]}],"mendeley":{"formattedCitation":"(18)","plainTextFormattedCitation":"(18)","previouslyFormattedCitation":"(18)"},"properties":{"noteIndex":0},"schema":"https://github.com/citation-style-language/schema/raw/master/csl-citation.json"}</w:instrText>
      </w:r>
      <w:r w:rsidRPr="00492106">
        <w:rPr>
          <w:rFonts w:ascii="Arial" w:hAnsi="Arial" w:cs="Arial"/>
          <w:bCs/>
        </w:rPr>
        <w:fldChar w:fldCharType="separate"/>
      </w:r>
      <w:r w:rsidR="00540A4F" w:rsidRPr="00540A4F">
        <w:rPr>
          <w:rFonts w:ascii="Arial" w:hAnsi="Arial" w:cs="Arial"/>
          <w:bCs/>
          <w:noProof/>
        </w:rPr>
        <w:t>(18)</w:t>
      </w:r>
      <w:r w:rsidRPr="00492106">
        <w:rPr>
          <w:rFonts w:ascii="Arial" w:hAnsi="Arial" w:cs="Arial"/>
          <w:bCs/>
        </w:rPr>
        <w:fldChar w:fldCharType="end"/>
      </w:r>
      <w:r w:rsidRPr="00492106">
        <w:rPr>
          <w:rFonts w:ascii="Arial" w:hAnsi="Arial" w:cs="Arial"/>
          <w:bCs/>
        </w:rPr>
        <w:t xml:space="preserve">. </w:t>
      </w:r>
      <w:r w:rsidRPr="00492106">
        <w:rPr>
          <w:rFonts w:ascii="Arial" w:hAnsi="Arial" w:cs="Arial"/>
        </w:rPr>
        <w:t>Primary immunization status was determined from the number of primary immunizations obtained by respondents before 1 year old consisting of 1x HB-0, 1x BCG, 3x DPT-HB-HiB/DPT HB Combo, 3x IPV/4x OPV+1x IPV, 1x Measles and Rubella (MR). The result is categorized as complete if = 9 or 11 times and incomplete if &lt; 9 times</w:t>
      </w:r>
      <w:r w:rsidR="001231CD">
        <w:rPr>
          <w:rFonts w:ascii="Arial" w:hAnsi="Arial" w:cs="Arial"/>
        </w:rPr>
        <w:t xml:space="preserve"> (</w:t>
      </w:r>
      <w:r w:rsidRPr="00492106">
        <w:rPr>
          <w:rFonts w:ascii="Arial" w:hAnsi="Arial" w:cs="Arial"/>
          <w:bCs/>
        </w:rPr>
        <w:fldChar w:fldCharType="begin" w:fldLock="1"/>
      </w:r>
      <w:r w:rsidR="001231CD">
        <w:rPr>
          <w:rFonts w:ascii="Arial" w:hAnsi="Arial" w:cs="Arial"/>
          <w:bCs/>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family.","author":[{"dropping-particle":"","family":"Kemenkes RI","given":"","non-dropping-particle":"","parse-names":false,"suffix":""}],"container-title":"Kemenkes RI","id":"ITEM-1","issued":{"date-parts":[["2017"]]},"page":"1-45","publisher-place":"Indonesia","title":"Peraturan Menteri Kesehatan Nomor 12 Tahun 2017 tentang Penyelenggaraan Imunisasi","type":"legislation"},"uris":["http://www.mendeley.com/documents/?uuid=bc090cec-2a8f-45cf-90d9-01c0ae819d40"]}],"mendeley":{"formattedCitation":"(19)","manualFormatting":"19).","plainTextFormattedCitation":"(19)","previouslyFormattedCitation":"(19)"},"properties":{"noteIndex":0},"schema":"https://github.com/citation-style-language/schema/raw/master/csl-citation.json"}</w:instrText>
      </w:r>
      <w:r w:rsidRPr="00492106">
        <w:rPr>
          <w:rFonts w:ascii="Arial" w:hAnsi="Arial" w:cs="Arial"/>
          <w:bCs/>
        </w:rPr>
        <w:fldChar w:fldCharType="separate"/>
      </w:r>
      <w:r w:rsidRPr="001231CD">
        <w:rPr>
          <w:rFonts w:ascii="Arial" w:hAnsi="Arial" w:cs="Arial"/>
          <w:bCs/>
          <w:noProof/>
        </w:rPr>
        <w:t>19</w:t>
      </w:r>
      <w:r w:rsidR="001231CD">
        <w:rPr>
          <w:rFonts w:ascii="Arial" w:hAnsi="Arial" w:cs="Arial"/>
          <w:bCs/>
          <w:noProof/>
        </w:rPr>
        <w:t>)</w:t>
      </w:r>
      <w:r w:rsidRPr="00492106">
        <w:rPr>
          <w:rFonts w:ascii="Arial" w:hAnsi="Arial" w:cs="Arial"/>
          <w:bCs/>
          <w:noProof/>
        </w:rPr>
        <w:t>.</w:t>
      </w:r>
      <w:r w:rsidRPr="00492106">
        <w:rPr>
          <w:rFonts w:ascii="Arial" w:hAnsi="Arial" w:cs="Arial"/>
          <w:bCs/>
        </w:rPr>
        <w:fldChar w:fldCharType="end"/>
      </w:r>
    </w:p>
    <w:p w14:paraId="526704E5" w14:textId="00BCF319" w:rsidR="00492106" w:rsidRPr="00492106" w:rsidRDefault="00492106" w:rsidP="00492106">
      <w:pPr>
        <w:spacing w:line="360" w:lineRule="auto"/>
        <w:ind w:firstLine="567"/>
        <w:jc w:val="both"/>
        <w:rPr>
          <w:rFonts w:ascii="Arial" w:hAnsi="Arial" w:cs="Arial"/>
          <w:bCs/>
        </w:rPr>
      </w:pPr>
      <w:r w:rsidRPr="00492106">
        <w:rPr>
          <w:rFonts w:ascii="Arial" w:hAnsi="Arial" w:cs="Arial"/>
        </w:rPr>
        <w:t xml:space="preserve">Access to drinking water was determined by identifying the source of drinking water used in respondent households, categorized as feasible if it came from a protected source (tap meter/retail, public tap, hydrant, rainwater harvesting, borehole/pump, protected well, protected spring, bottled water, and refill water) and not feasible if it did not come from a protected source. Access to improved sanitation was determined by </w:t>
      </w:r>
      <w:r w:rsidRPr="00492106">
        <w:rPr>
          <w:rFonts w:ascii="Arial" w:hAnsi="Arial" w:cs="Arial"/>
        </w:rPr>
        <w:lastRenderedPageBreak/>
        <w:t>identifying the ownership of improved sanitation facilities such as gooseneck latrines, septic tanks/IPALs, and earth pits (specifically in rural areas) in respondent households. Sanitation is categorized as feasible if the facilities are complete and meet the criteria and not feasible if they are incomplete or do not meet the criteria</w:t>
      </w:r>
      <w:r w:rsidR="001231CD">
        <w:rPr>
          <w:rFonts w:ascii="Arial" w:hAnsi="Arial" w:cs="Arial"/>
        </w:rPr>
        <w:t xml:space="preserve"> </w:t>
      </w:r>
      <w:r w:rsidRPr="00492106">
        <w:rPr>
          <w:rFonts w:ascii="Arial" w:hAnsi="Arial" w:cs="Arial"/>
          <w:bCs/>
        </w:rPr>
        <w:fldChar w:fldCharType="begin" w:fldLock="1"/>
      </w:r>
      <w:r w:rsidR="00730ED8">
        <w:rPr>
          <w:rFonts w:ascii="Arial" w:hAnsi="Arial" w:cs="Arial"/>
          <w:bCs/>
        </w:rPr>
        <w:instrText>ADDIN CSL_CITATION {"citationItems":[{"id":"ITEM-1","itemData":{"ISBN":"978-602-53813-4-8","abstract":"Pembangunan Berkelanjutan","author":[{"dropping-particle":"","family":"Bappenas","given":"","non-dropping-particle":"","parse-names":false,"suffix":""}],"container-title":"Kementerian PPN/Bappenas","edition":"2","id":"ITEM-1","issued":{"date-parts":[["2020"]]},"number-of-pages":"1-106","publisher":"Bappenas","publisher-place":"Jakarta","title":"Metadata Indikator: Pilar Pembangunan Lingkungan","type":"book"},"uris":["http://www.mendeley.com/documents/?uuid=c23a760c-db7e-4ec4-8a78-3033630a6580"]}],"mendeley":{"formattedCitation":"(20)","plainTextFormattedCitation":"(20)","previouslyFormattedCitation":"(20)"},"properties":{"noteIndex":0},"schema":"https://github.com/citation-style-language/schema/raw/master/csl-citation.json"}</w:instrText>
      </w:r>
      <w:r w:rsidRPr="00492106">
        <w:rPr>
          <w:rFonts w:ascii="Arial" w:hAnsi="Arial" w:cs="Arial"/>
          <w:bCs/>
        </w:rPr>
        <w:fldChar w:fldCharType="separate"/>
      </w:r>
      <w:r w:rsidR="00540A4F" w:rsidRPr="00540A4F">
        <w:rPr>
          <w:rFonts w:ascii="Arial" w:hAnsi="Arial" w:cs="Arial"/>
          <w:bCs/>
          <w:noProof/>
        </w:rPr>
        <w:t>(20)</w:t>
      </w:r>
      <w:r w:rsidRPr="00492106">
        <w:rPr>
          <w:rFonts w:ascii="Arial" w:hAnsi="Arial" w:cs="Arial"/>
          <w:bCs/>
        </w:rPr>
        <w:fldChar w:fldCharType="end"/>
      </w:r>
      <w:r w:rsidRPr="00492106">
        <w:rPr>
          <w:rFonts w:ascii="Arial" w:hAnsi="Arial" w:cs="Arial"/>
          <w:bCs/>
        </w:rPr>
        <w:t xml:space="preserve">.  </w:t>
      </w:r>
      <w:r w:rsidR="00494C66">
        <w:rPr>
          <w:rFonts w:ascii="Arial" w:hAnsi="Arial" w:cs="Arial"/>
          <w:bCs/>
        </w:rPr>
        <w:t xml:space="preserve">Cluster variable in this study is </w:t>
      </w:r>
      <w:r w:rsidR="00494C66" w:rsidRPr="00492106">
        <w:rPr>
          <w:rFonts w:ascii="Arial" w:hAnsi="Arial" w:cs="Arial"/>
          <w:lang w:eastAsia="ko-KR"/>
        </w:rPr>
        <w:t>districts/cities</w:t>
      </w:r>
      <w:r w:rsidR="00494C66">
        <w:rPr>
          <w:rFonts w:ascii="Arial" w:hAnsi="Arial" w:cs="Arial"/>
          <w:lang w:eastAsia="ko-KR"/>
        </w:rPr>
        <w:t xml:space="preserve"> characteristics.</w:t>
      </w:r>
    </w:p>
    <w:p w14:paraId="158ED000" w14:textId="31A993F9" w:rsidR="00492106" w:rsidRPr="00492106" w:rsidRDefault="00492106" w:rsidP="00494C66">
      <w:pPr>
        <w:spacing w:line="360" w:lineRule="auto"/>
        <w:ind w:firstLine="567"/>
        <w:jc w:val="both"/>
        <w:rPr>
          <w:rFonts w:ascii="Arial" w:hAnsi="Arial" w:cs="Arial"/>
          <w:bCs/>
        </w:rPr>
      </w:pPr>
      <w:r w:rsidRPr="00492106">
        <w:rPr>
          <w:rFonts w:ascii="Arial" w:hAnsi="Arial" w:cs="Arial"/>
          <w:lang w:eastAsia="ko-KR"/>
        </w:rPr>
        <w:t xml:space="preserve">All processed data were subsequently examined with </w:t>
      </w:r>
      <w:r w:rsidR="001B711B">
        <w:rPr>
          <w:rFonts w:ascii="Arial" w:hAnsi="Arial" w:cs="Arial"/>
          <w:lang w:eastAsia="ko-KR"/>
        </w:rPr>
        <w:t>STATA 15</w:t>
      </w:r>
      <w:r w:rsidRPr="00492106">
        <w:rPr>
          <w:rFonts w:ascii="Arial" w:hAnsi="Arial" w:cs="Arial"/>
          <w:lang w:eastAsia="ko-KR"/>
        </w:rPr>
        <w:t xml:space="preserve"> software. Univariate analysis was conducted descriptively using frequency distribution tables. To analyze the connection between variables, the Chi-Square test was used with a significance level of &lt;0.05. </w:t>
      </w:r>
      <w:r w:rsidR="001B711B">
        <w:rPr>
          <w:rFonts w:ascii="Arial" w:hAnsi="Arial" w:cs="Arial"/>
          <w:lang w:eastAsia="ko-KR"/>
        </w:rPr>
        <w:t>M</w:t>
      </w:r>
      <w:r w:rsidRPr="00492106">
        <w:rPr>
          <w:rFonts w:ascii="Arial" w:hAnsi="Arial" w:cs="Arial"/>
          <w:lang w:eastAsia="ko-KR"/>
        </w:rPr>
        <w:t xml:space="preserve">ultivariate analysis using a </w:t>
      </w:r>
      <w:r w:rsidR="001B711B">
        <w:rPr>
          <w:rFonts w:ascii="Arial" w:hAnsi="Arial" w:cs="Arial"/>
          <w:lang w:eastAsia="ko-KR"/>
        </w:rPr>
        <w:t xml:space="preserve">multilevel </w:t>
      </w:r>
      <w:r w:rsidRPr="00492106">
        <w:rPr>
          <w:rFonts w:ascii="Arial" w:hAnsi="Arial" w:cs="Arial"/>
          <w:lang w:eastAsia="ko-KR"/>
        </w:rPr>
        <w:t xml:space="preserve">binary logistic regression test. </w:t>
      </w:r>
      <w:r w:rsidRPr="00492106">
        <w:rPr>
          <w:rFonts w:ascii="Arial" w:hAnsi="Arial" w:cs="Arial"/>
          <w:bCs/>
        </w:rPr>
        <w:t>This study has received ethical approval from the ethics commission of Dr. Moewardi Hospital with number 367/II/HREC/2024.</w:t>
      </w:r>
    </w:p>
    <w:p w14:paraId="4AC32BEE" w14:textId="6BC6A5ED" w:rsidR="00FF7BA9" w:rsidRPr="005858AC" w:rsidRDefault="00E36C3E" w:rsidP="00492106">
      <w:pPr>
        <w:spacing w:before="240" w:line="240" w:lineRule="auto"/>
        <w:jc w:val="both"/>
        <w:rPr>
          <w:rFonts w:ascii="Arial" w:hAnsi="Arial" w:cs="Arial"/>
          <w:b/>
          <w:color w:val="000000" w:themeColor="text1"/>
          <w:lang w:val="en-US"/>
        </w:rPr>
      </w:pPr>
      <w:r w:rsidRPr="00FF7BA9">
        <w:rPr>
          <w:rFonts w:ascii="Arial" w:hAnsi="Arial" w:cs="Arial"/>
          <w:b/>
          <w:color w:val="000000" w:themeColor="text1"/>
        </w:rPr>
        <w:t>RESULTS AND DISCUSSION</w:t>
      </w:r>
      <w:r w:rsidR="00A31A50">
        <w:rPr>
          <w:rFonts w:ascii="Arial" w:hAnsi="Arial" w:cs="Arial"/>
          <w:b/>
          <w:color w:val="000000" w:themeColor="text1"/>
        </w:rPr>
        <w:t>S</w:t>
      </w:r>
    </w:p>
    <w:p w14:paraId="4F30FB7E" w14:textId="393A4503" w:rsidR="00492106" w:rsidRPr="00B40051" w:rsidRDefault="00492106" w:rsidP="00B40051">
      <w:pPr>
        <w:spacing w:line="360" w:lineRule="auto"/>
        <w:ind w:firstLine="567"/>
        <w:jc w:val="both"/>
        <w:rPr>
          <w:rFonts w:ascii="Arial" w:hAnsi="Arial" w:cs="Arial"/>
        </w:rPr>
      </w:pPr>
      <w:r w:rsidRPr="00492106">
        <w:rPr>
          <w:rFonts w:ascii="Arial" w:hAnsi="Arial" w:cs="Arial"/>
          <w:lang w:eastAsia="ko-KR"/>
        </w:rPr>
        <w:t xml:space="preserve">The results of the univariate analysis reported in Table 1 show that the number of male (49%) and female (51%) toddlers is nearly equal. This is because the research respondents were purposely chosen from the general community, so the quantity of each gender category cannot be equalized. The majority of respondents (56.6%) live in rural areas, while only 43.4 percent live in cities. </w:t>
      </w:r>
      <w:r w:rsidRPr="00492106">
        <w:rPr>
          <w:rFonts w:ascii="Arial" w:hAnsi="Arial" w:cs="Arial"/>
        </w:rPr>
        <w:t>This is because Lampung Province has more districts (13 districts) than cities (2 cities)</w:t>
      </w:r>
      <w:r w:rsidR="001231CD">
        <w:rPr>
          <w:rFonts w:ascii="Arial" w:hAnsi="Arial" w:cs="Arial"/>
        </w:rPr>
        <w:t xml:space="preserve"> </w:t>
      </w:r>
      <w:r w:rsidRPr="00492106">
        <w:rPr>
          <w:rFonts w:ascii="Arial" w:hAnsi="Arial" w:cs="Arial"/>
        </w:rPr>
        <w:fldChar w:fldCharType="begin" w:fldLock="1"/>
      </w:r>
      <w:r w:rsidR="00730ED8">
        <w:rPr>
          <w:rFonts w:ascii="Arial" w:hAnsi="Arial" w:cs="Arial"/>
        </w:rPr>
        <w:instrText>ADDIN CSL_CITATION {"citationItems":[{"id":"ITEM-1","itemData":{"ISBN":"9786024384142","author":[{"dropping-particle":"","family":"Heriyana","given":"Aan","non-dropping-particle":"","parse-names":false,"suffix":""},{"dropping-particle":"","family":"Pazanudin","given":"Ahmad Fikri","non-dropping-particle":"","parse-names":false,"suffix":""},{"dropping-particle":"","family":"Rosiadi","given":"Arifin","non-dropping-particle":"","parse-names":false,"suffix":""},{"dropping-particle":"","family":"Prehandoko","given":"David Setya","non-dropping-particle":"","parse-names":false,"suffix":""},{"dropping-particle":"","family":"Yanti","given":"Fitri","non-dropping-particle":"","parse-names":false,"suffix":""},{"dropping-particle":"","family":"Husjakarsih","given":"Iin","non-dropping-particle":"","parse-names":false,"suffix":""},{"dropping-particle":"","family":"Dwicahyo","given":"Mahendri","non-dropping-particle":"","parse-names":false,"suffix":""},{"dropping-particle":"","family":"Nasrul","given":"","non-dropping-particle":"","parse-names":false,"suffix":""},{"dropping-particle":"","family":"Pertiwi","given":"Ratih Putri","non-dropping-particle":"","parse-names":false,"suffix":""},{"dropping-particle":"","family":"Nefriana","given":"RR","non-dropping-particle":"","parse-names":false,"suffix":""},{"dropping-particle":"","family":"Narulita","given":"Rully","non-dropping-particle":"","parse-names":false,"suffix":""},{"dropping-particle":"","family":"Surbakti","given":"Shafa Rosea","non-dropping-particle":"","parse-names":false,"suffix":""},{"dropping-particle":"","family":"Maylani","given":"Zelly","non-dropping-particle":"","parse-names":false,"suffix":""}],"id":"ITEM-1","issued":{"date-parts":[["2021"]]},"number-of-pages":"xiv+457","publisher":"Badan Pusat Statistik","publisher-place":"Jakarta","title":"Peraturan Kepala Badan Pusat Statistik Nomor 120 Tahun 2020 Tentang Klasifikasi Desa Perkotaan dan Perdesaan di Indonesia 2020 Buku 1 Sumatera","type":"book"},"uris":["http://www.mendeley.com/documents/?uuid=12d10514-0909-4626-b38a-03bd696c5d50"]}],"mendeley":{"formattedCitation":"(21)","plainTextFormattedCitation":"(21)","previouslyFormattedCitation":"(21)"},"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(21)</w:t>
      </w:r>
      <w:r w:rsidRPr="00492106">
        <w:rPr>
          <w:rFonts w:ascii="Arial" w:hAnsi="Arial" w:cs="Arial"/>
        </w:rPr>
        <w:fldChar w:fldCharType="end"/>
      </w:r>
      <w:r w:rsidRPr="00492106">
        <w:rPr>
          <w:rFonts w:ascii="Arial" w:hAnsi="Arial" w:cs="Arial"/>
        </w:rPr>
        <w:t>.</w:t>
      </w:r>
      <w:r w:rsidRPr="00492106">
        <w:rPr>
          <w:rFonts w:ascii="Arial" w:hAnsi="Arial" w:cs="Arial"/>
          <w:vertAlign w:val="superscript"/>
        </w:rPr>
        <w:t xml:space="preserve"> </w:t>
      </w:r>
      <w:r w:rsidRPr="00492106">
        <w:rPr>
          <w:rFonts w:ascii="Arial" w:hAnsi="Arial" w:cs="Arial"/>
        </w:rPr>
        <w:t>This distinction in residential classification can affect people's habits, access, and cost to health facilities, schools, and consumables, influencing the nutritional status of neighborhood toddlers</w:t>
      </w:r>
      <w:r w:rsidRPr="00492106">
        <w:rPr>
          <w:rFonts w:ascii="Arial" w:eastAsia="Arial" w:hAnsi="Arial" w:cs="Arial"/>
        </w:rPr>
        <w:t xml:space="preserve"> </w:t>
      </w:r>
      <w:r w:rsidRPr="00492106">
        <w:rPr>
          <w:rFonts w:ascii="Arial" w:eastAsia="Arial" w:hAnsi="Arial" w:cs="Arial"/>
        </w:rPr>
        <w:fldChar w:fldCharType="begin" w:fldLock="1"/>
      </w:r>
      <w:r w:rsidR="00843872">
        <w:rPr>
          <w:rFonts w:ascii="Arial" w:eastAsia="Arial" w:hAnsi="Arial" w:cs="Arial"/>
        </w:rPr>
        <w:instrText>ADDIN CSL_CITATION {"citationItems":[{"id":"ITEM-1","itemData":{"author":[{"dropping-particle":"","family":"Nurbani","given":"Rachma Indah","non-dropping-particle":"","parse-names":false,"suffix":""},{"dropping-particle":"","family":"Widyaningsih","given":"Dyan","non-dropping-particle":"","parse-names":false,"suffix":""},{"dropping-particle":"","family":"Fatah","given":"Akhmad Ramadhan","non-dropping-particle":"","parse-names":false,"suffix":""},{"dropping-particle":"","family":"Elmira","given":"Elza","non-dropping-particle":"","parse-names":false,"suffix":""},{"dropping-particle":"","family":"Toyamah","given":"Nina","non-dropping-particle":"","parse-names":false,"suffix":""},{"dropping-particle":"","family":"Rianto","given":"Laskar","non-dropping-particle":"","parse-names":false,"suffix":""},{"dropping-particle":"","family":"Christiantara","given":"Steve","non-dropping-particle":"","parse-names":false,"suffix":""}],"id":"ITEM-1","issued":{"date-parts":[["2019"]]},"number-of-pages":"1-95","publisher-place":"Jakarta","title":"Penanggulangan Stunting di Tingkat Daerah : Faktor-faktor yang Memengaruhi Variasi Tingkat Stunting di Enam Kabupaten/Kota di Indonesia","type":"report"},"uris":["http://www.mendeley.com/documents/?uuid=ad471457-b09a-4f45-bd3f-981145e957cc"]}],"mendeley":{"formattedCitation":"(22)","plainTextFormattedCitation":"(22)","previouslyFormattedCitation":"(22)"},"properties":{"noteIndex":0},"schema":"https://github.com/citation-style-language/schema/raw/master/csl-citation.json"}</w:instrText>
      </w:r>
      <w:r w:rsidRPr="00492106">
        <w:rPr>
          <w:rFonts w:ascii="Arial" w:eastAsia="Arial" w:hAnsi="Arial" w:cs="Arial"/>
        </w:rPr>
        <w:fldChar w:fldCharType="separate"/>
      </w:r>
      <w:r w:rsidR="00540A4F" w:rsidRPr="00540A4F">
        <w:rPr>
          <w:rFonts w:ascii="Arial" w:eastAsia="Arial" w:hAnsi="Arial" w:cs="Arial"/>
          <w:noProof/>
        </w:rPr>
        <w:t>(22)</w:t>
      </w:r>
      <w:r w:rsidRPr="00492106">
        <w:rPr>
          <w:rFonts w:ascii="Arial" w:eastAsia="Arial" w:hAnsi="Arial" w:cs="Arial"/>
        </w:rPr>
        <w:fldChar w:fldCharType="end"/>
      </w:r>
      <w:r w:rsidRPr="00492106">
        <w:rPr>
          <w:rFonts w:ascii="Arial" w:eastAsia="Arial" w:hAnsi="Arial" w:cs="Arial"/>
        </w:rPr>
        <w:t xml:space="preserve">. </w:t>
      </w:r>
    </w:p>
    <w:p w14:paraId="252CE811" w14:textId="77777777" w:rsidR="00492106" w:rsidRPr="00B40051" w:rsidRDefault="00492106" w:rsidP="00B40051">
      <w:pPr>
        <w:spacing w:after="0" w:line="240" w:lineRule="auto"/>
        <w:jc w:val="center"/>
        <w:rPr>
          <w:rFonts w:ascii="Arial" w:hAnsi="Arial" w:cs="Arial"/>
          <w:b/>
          <w:bCs/>
          <w:i/>
          <w:iCs/>
        </w:rPr>
      </w:pPr>
      <w:r w:rsidRPr="00B40051">
        <w:rPr>
          <w:rFonts w:ascii="Arial" w:hAnsi="Arial" w:cs="Arial"/>
          <w:b/>
          <w:bCs/>
        </w:rPr>
        <w:t>Table 1. Distribution of Respondents based on Characteristics</w:t>
      </w:r>
    </w:p>
    <w:tbl>
      <w:tblPr>
        <w:tblW w:w="0" w:type="auto"/>
        <w:jc w:val="center"/>
        <w:tblCellMar>
          <w:top w:w="15" w:type="dxa"/>
          <w:left w:w="15" w:type="dxa"/>
          <w:bottom w:w="15" w:type="dxa"/>
          <w:right w:w="15" w:type="dxa"/>
        </w:tblCellMar>
        <w:tblLook w:val="04A0" w:firstRow="1" w:lastRow="0" w:firstColumn="1" w:lastColumn="0" w:noHBand="0" w:noVBand="1"/>
      </w:tblPr>
      <w:tblGrid>
        <w:gridCol w:w="5113"/>
        <w:gridCol w:w="1681"/>
        <w:gridCol w:w="1710"/>
      </w:tblGrid>
      <w:tr w:rsidR="00492106" w:rsidRPr="00492106" w14:paraId="05286955" w14:textId="77777777" w:rsidTr="00C041C7">
        <w:trPr>
          <w:jc w:val="center"/>
        </w:trPr>
        <w:tc>
          <w:tcPr>
            <w:tcW w:w="5856" w:type="dxa"/>
            <w:tcBorders>
              <w:top w:val="outset" w:sz="6" w:space="0" w:color="auto"/>
              <w:left w:val="nil"/>
              <w:bottom w:val="outset" w:sz="6" w:space="0" w:color="auto"/>
              <w:right w:val="nil"/>
            </w:tcBorders>
          </w:tcPr>
          <w:p w14:paraId="46CF9F1B"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 xml:space="preserve">Category </w:t>
            </w:r>
          </w:p>
        </w:tc>
        <w:tc>
          <w:tcPr>
            <w:tcW w:w="1838" w:type="dxa"/>
            <w:tcBorders>
              <w:top w:val="outset" w:sz="6" w:space="0" w:color="auto"/>
              <w:left w:val="nil"/>
              <w:bottom w:val="outset" w:sz="6" w:space="0" w:color="auto"/>
              <w:right w:val="nil"/>
            </w:tcBorders>
          </w:tcPr>
          <w:p w14:paraId="26179ADD"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n=1.929</w:t>
            </w:r>
          </w:p>
        </w:tc>
        <w:tc>
          <w:tcPr>
            <w:tcW w:w="1945" w:type="dxa"/>
            <w:tcBorders>
              <w:top w:val="outset" w:sz="6" w:space="0" w:color="auto"/>
              <w:left w:val="nil"/>
              <w:bottom w:val="outset" w:sz="6" w:space="0" w:color="auto"/>
              <w:right w:val="nil"/>
            </w:tcBorders>
          </w:tcPr>
          <w:p w14:paraId="729CD1C5"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w:t>
            </w:r>
          </w:p>
        </w:tc>
      </w:tr>
      <w:tr w:rsidR="00492106" w:rsidRPr="00492106" w14:paraId="0FC99451" w14:textId="77777777" w:rsidTr="00C041C7">
        <w:trPr>
          <w:jc w:val="center"/>
        </w:trPr>
        <w:tc>
          <w:tcPr>
            <w:tcW w:w="5856" w:type="dxa"/>
            <w:tcBorders>
              <w:top w:val="nil"/>
              <w:left w:val="nil"/>
              <w:bottom w:val="nil"/>
              <w:right w:val="nil"/>
            </w:tcBorders>
          </w:tcPr>
          <w:p w14:paraId="7A5D919B" w14:textId="77777777" w:rsidR="00492106" w:rsidRPr="00492106" w:rsidRDefault="00492106" w:rsidP="00B40051">
            <w:pPr>
              <w:spacing w:after="0" w:line="240" w:lineRule="auto"/>
              <w:rPr>
                <w:rFonts w:ascii="Arial" w:eastAsia="MS Mincho" w:hAnsi="Arial" w:cs="Arial"/>
              </w:rPr>
            </w:pPr>
            <w:r w:rsidRPr="00492106">
              <w:rPr>
                <w:rFonts w:ascii="Arial" w:eastAsia="MS Mincho" w:hAnsi="Arial" w:cs="Arial"/>
              </w:rPr>
              <w:t>Gender</w:t>
            </w:r>
          </w:p>
        </w:tc>
        <w:tc>
          <w:tcPr>
            <w:tcW w:w="1838" w:type="dxa"/>
            <w:tcBorders>
              <w:top w:val="nil"/>
              <w:left w:val="nil"/>
              <w:bottom w:val="nil"/>
              <w:right w:val="nil"/>
            </w:tcBorders>
          </w:tcPr>
          <w:p w14:paraId="72A7DC32" w14:textId="77777777" w:rsidR="00492106" w:rsidRPr="00492106" w:rsidRDefault="00492106" w:rsidP="00B40051">
            <w:pPr>
              <w:spacing w:after="0" w:line="240" w:lineRule="auto"/>
              <w:jc w:val="center"/>
              <w:rPr>
                <w:rFonts w:ascii="Arial" w:eastAsia="MS Mincho" w:hAnsi="Arial" w:cs="Arial"/>
              </w:rPr>
            </w:pPr>
          </w:p>
        </w:tc>
        <w:tc>
          <w:tcPr>
            <w:tcW w:w="1945" w:type="dxa"/>
            <w:tcBorders>
              <w:top w:val="nil"/>
              <w:left w:val="nil"/>
              <w:bottom w:val="nil"/>
              <w:right w:val="nil"/>
            </w:tcBorders>
          </w:tcPr>
          <w:p w14:paraId="2CB751CB" w14:textId="77777777" w:rsidR="00492106" w:rsidRPr="00492106" w:rsidRDefault="00492106" w:rsidP="00B40051">
            <w:pPr>
              <w:spacing w:after="0" w:line="240" w:lineRule="auto"/>
              <w:jc w:val="center"/>
              <w:rPr>
                <w:rFonts w:ascii="Arial" w:eastAsia="MS Mincho" w:hAnsi="Arial" w:cs="Arial"/>
              </w:rPr>
            </w:pPr>
          </w:p>
        </w:tc>
      </w:tr>
      <w:tr w:rsidR="00492106" w:rsidRPr="00492106" w14:paraId="62C59415" w14:textId="77777777" w:rsidTr="00C041C7">
        <w:trPr>
          <w:jc w:val="center"/>
        </w:trPr>
        <w:tc>
          <w:tcPr>
            <w:tcW w:w="5856" w:type="dxa"/>
            <w:tcBorders>
              <w:top w:val="nil"/>
              <w:left w:val="nil"/>
              <w:bottom w:val="nil"/>
              <w:right w:val="nil"/>
            </w:tcBorders>
          </w:tcPr>
          <w:p w14:paraId="434BAA69" w14:textId="77777777" w:rsidR="00492106" w:rsidRPr="00492106" w:rsidRDefault="00492106" w:rsidP="00B40051">
            <w:pPr>
              <w:spacing w:after="0" w:line="240" w:lineRule="auto"/>
              <w:ind w:firstLine="272"/>
              <w:rPr>
                <w:rFonts w:ascii="Arial" w:eastAsia="MS Mincho" w:hAnsi="Arial" w:cs="Arial"/>
              </w:rPr>
            </w:pPr>
            <w:r w:rsidRPr="00492106">
              <w:rPr>
                <w:rFonts w:ascii="Arial" w:eastAsia="MS Mincho" w:hAnsi="Arial" w:cs="Arial"/>
              </w:rPr>
              <w:t>Males</w:t>
            </w:r>
          </w:p>
        </w:tc>
        <w:tc>
          <w:tcPr>
            <w:tcW w:w="1838" w:type="dxa"/>
            <w:tcBorders>
              <w:top w:val="nil"/>
              <w:left w:val="nil"/>
              <w:bottom w:val="nil"/>
              <w:right w:val="nil"/>
            </w:tcBorders>
          </w:tcPr>
          <w:p w14:paraId="48D566D2" w14:textId="77777777" w:rsidR="00492106" w:rsidRPr="00492106" w:rsidRDefault="00492106" w:rsidP="00B40051">
            <w:pPr>
              <w:spacing w:after="0" w:line="240" w:lineRule="auto"/>
              <w:jc w:val="center"/>
              <w:rPr>
                <w:rFonts w:ascii="Arial" w:eastAsia="MS Mincho" w:hAnsi="Arial" w:cs="Arial"/>
              </w:rPr>
            </w:pPr>
            <w:r w:rsidRPr="00492106">
              <w:rPr>
                <w:rFonts w:ascii="Arial" w:eastAsia="MS Mincho" w:hAnsi="Arial" w:cs="Arial"/>
              </w:rPr>
              <w:t>946</w:t>
            </w:r>
          </w:p>
        </w:tc>
        <w:tc>
          <w:tcPr>
            <w:tcW w:w="1945" w:type="dxa"/>
            <w:tcBorders>
              <w:top w:val="nil"/>
              <w:left w:val="nil"/>
              <w:bottom w:val="nil"/>
              <w:right w:val="nil"/>
            </w:tcBorders>
          </w:tcPr>
          <w:p w14:paraId="3DD6569D" w14:textId="77777777" w:rsidR="00492106" w:rsidRPr="00492106" w:rsidRDefault="00492106" w:rsidP="00B40051">
            <w:pPr>
              <w:spacing w:after="0" w:line="240" w:lineRule="auto"/>
              <w:jc w:val="center"/>
              <w:rPr>
                <w:rFonts w:ascii="Arial" w:eastAsia="MS Mincho" w:hAnsi="Arial" w:cs="Arial"/>
              </w:rPr>
            </w:pPr>
            <w:r w:rsidRPr="00492106">
              <w:rPr>
                <w:rFonts w:ascii="Arial" w:eastAsia="MS Mincho" w:hAnsi="Arial" w:cs="Arial"/>
              </w:rPr>
              <w:t>49</w:t>
            </w:r>
          </w:p>
        </w:tc>
      </w:tr>
      <w:tr w:rsidR="00492106" w:rsidRPr="00492106" w14:paraId="581DFE70" w14:textId="77777777" w:rsidTr="00C041C7">
        <w:trPr>
          <w:jc w:val="center"/>
        </w:trPr>
        <w:tc>
          <w:tcPr>
            <w:tcW w:w="5856" w:type="dxa"/>
            <w:tcBorders>
              <w:top w:val="nil"/>
              <w:left w:val="nil"/>
              <w:bottom w:val="nil"/>
              <w:right w:val="nil"/>
            </w:tcBorders>
          </w:tcPr>
          <w:p w14:paraId="50CEDBAB" w14:textId="77777777" w:rsidR="00492106" w:rsidRPr="00492106" w:rsidRDefault="00492106" w:rsidP="00B40051">
            <w:pPr>
              <w:spacing w:after="0" w:line="240" w:lineRule="auto"/>
              <w:ind w:firstLine="272"/>
              <w:rPr>
                <w:rFonts w:ascii="Arial" w:eastAsia="MS Mincho" w:hAnsi="Arial" w:cs="Arial"/>
              </w:rPr>
            </w:pPr>
            <w:r w:rsidRPr="00492106">
              <w:rPr>
                <w:rFonts w:ascii="Arial" w:eastAsia="MS Mincho" w:hAnsi="Arial" w:cs="Arial"/>
              </w:rPr>
              <w:t>Females</w:t>
            </w:r>
          </w:p>
        </w:tc>
        <w:tc>
          <w:tcPr>
            <w:tcW w:w="1838" w:type="dxa"/>
            <w:tcBorders>
              <w:top w:val="nil"/>
              <w:left w:val="nil"/>
              <w:bottom w:val="nil"/>
              <w:right w:val="nil"/>
            </w:tcBorders>
          </w:tcPr>
          <w:p w14:paraId="2ACE1A7F" w14:textId="77777777" w:rsidR="00492106" w:rsidRPr="00492106" w:rsidRDefault="00492106" w:rsidP="00B40051">
            <w:pPr>
              <w:spacing w:after="0" w:line="240" w:lineRule="auto"/>
              <w:jc w:val="center"/>
              <w:rPr>
                <w:rFonts w:ascii="Arial" w:eastAsia="MS Mincho" w:hAnsi="Arial" w:cs="Arial"/>
              </w:rPr>
            </w:pPr>
            <w:r w:rsidRPr="00492106">
              <w:rPr>
                <w:rFonts w:ascii="Arial" w:eastAsia="MS Mincho" w:hAnsi="Arial" w:cs="Arial"/>
              </w:rPr>
              <w:t>983</w:t>
            </w:r>
          </w:p>
        </w:tc>
        <w:tc>
          <w:tcPr>
            <w:tcW w:w="1945" w:type="dxa"/>
            <w:tcBorders>
              <w:top w:val="nil"/>
              <w:left w:val="nil"/>
              <w:bottom w:val="nil"/>
              <w:right w:val="nil"/>
            </w:tcBorders>
          </w:tcPr>
          <w:p w14:paraId="3FDB38C7" w14:textId="77777777" w:rsidR="00492106" w:rsidRPr="00492106" w:rsidRDefault="00492106" w:rsidP="00B40051">
            <w:pPr>
              <w:spacing w:after="0" w:line="240" w:lineRule="auto"/>
              <w:jc w:val="center"/>
              <w:rPr>
                <w:rFonts w:ascii="Arial" w:eastAsia="MS Mincho" w:hAnsi="Arial" w:cs="Arial"/>
              </w:rPr>
            </w:pPr>
            <w:r w:rsidRPr="00492106">
              <w:rPr>
                <w:rFonts w:ascii="Arial" w:eastAsia="MS Mincho" w:hAnsi="Arial" w:cs="Arial"/>
              </w:rPr>
              <w:t>51</w:t>
            </w:r>
          </w:p>
        </w:tc>
      </w:tr>
      <w:tr w:rsidR="00492106" w:rsidRPr="00492106" w14:paraId="71FF6C69" w14:textId="77777777" w:rsidTr="00C041C7">
        <w:trPr>
          <w:jc w:val="center"/>
        </w:trPr>
        <w:tc>
          <w:tcPr>
            <w:tcW w:w="5856" w:type="dxa"/>
            <w:tcBorders>
              <w:top w:val="nil"/>
              <w:left w:val="nil"/>
              <w:bottom w:val="nil"/>
              <w:right w:val="nil"/>
            </w:tcBorders>
          </w:tcPr>
          <w:p w14:paraId="11B6E7DB" w14:textId="77777777" w:rsidR="00492106" w:rsidRPr="00492106" w:rsidRDefault="00492106" w:rsidP="00B40051">
            <w:pPr>
              <w:spacing w:after="0" w:line="240" w:lineRule="auto"/>
              <w:rPr>
                <w:rFonts w:ascii="Arial" w:eastAsia="MS Mincho" w:hAnsi="Arial" w:cs="Arial"/>
              </w:rPr>
            </w:pPr>
            <w:r w:rsidRPr="00492106">
              <w:rPr>
                <w:rFonts w:ascii="Arial" w:eastAsia="MS Mincho" w:hAnsi="Arial" w:cs="Arial"/>
              </w:rPr>
              <w:t>Residence</w:t>
            </w:r>
          </w:p>
        </w:tc>
        <w:tc>
          <w:tcPr>
            <w:tcW w:w="1838" w:type="dxa"/>
            <w:tcBorders>
              <w:top w:val="nil"/>
              <w:left w:val="nil"/>
              <w:bottom w:val="nil"/>
              <w:right w:val="nil"/>
            </w:tcBorders>
          </w:tcPr>
          <w:p w14:paraId="30E975E1" w14:textId="77777777" w:rsidR="00492106" w:rsidRPr="00492106" w:rsidRDefault="00492106" w:rsidP="00B40051">
            <w:pPr>
              <w:spacing w:after="0" w:line="240" w:lineRule="auto"/>
              <w:jc w:val="center"/>
              <w:rPr>
                <w:rFonts w:ascii="Arial" w:eastAsia="MS Mincho" w:hAnsi="Arial" w:cs="Arial"/>
              </w:rPr>
            </w:pPr>
          </w:p>
        </w:tc>
        <w:tc>
          <w:tcPr>
            <w:tcW w:w="1945" w:type="dxa"/>
            <w:tcBorders>
              <w:top w:val="nil"/>
              <w:left w:val="nil"/>
              <w:bottom w:val="nil"/>
              <w:right w:val="nil"/>
            </w:tcBorders>
          </w:tcPr>
          <w:p w14:paraId="075C10DC" w14:textId="77777777" w:rsidR="00492106" w:rsidRPr="00492106" w:rsidRDefault="00492106" w:rsidP="00B40051">
            <w:pPr>
              <w:spacing w:after="0" w:line="240" w:lineRule="auto"/>
              <w:jc w:val="center"/>
              <w:rPr>
                <w:rFonts w:ascii="Arial" w:eastAsia="MS Mincho" w:hAnsi="Arial" w:cs="Arial"/>
              </w:rPr>
            </w:pPr>
          </w:p>
        </w:tc>
      </w:tr>
      <w:tr w:rsidR="00492106" w:rsidRPr="00492106" w14:paraId="5B3588D3" w14:textId="77777777" w:rsidTr="00C041C7">
        <w:trPr>
          <w:jc w:val="center"/>
        </w:trPr>
        <w:tc>
          <w:tcPr>
            <w:tcW w:w="5856" w:type="dxa"/>
            <w:tcBorders>
              <w:top w:val="nil"/>
              <w:left w:val="nil"/>
              <w:right w:val="nil"/>
            </w:tcBorders>
          </w:tcPr>
          <w:p w14:paraId="6EEEE397" w14:textId="77777777" w:rsidR="00492106" w:rsidRPr="00492106" w:rsidRDefault="00492106" w:rsidP="00B40051">
            <w:pPr>
              <w:spacing w:after="0" w:line="240" w:lineRule="auto"/>
              <w:ind w:firstLine="272"/>
              <w:rPr>
                <w:rFonts w:ascii="Arial" w:eastAsia="MS Mincho" w:hAnsi="Arial" w:cs="Arial"/>
              </w:rPr>
            </w:pPr>
            <w:r w:rsidRPr="00492106">
              <w:rPr>
                <w:rFonts w:ascii="Arial" w:eastAsia="MS Mincho" w:hAnsi="Arial" w:cs="Arial"/>
              </w:rPr>
              <w:t>Urban</w:t>
            </w:r>
          </w:p>
        </w:tc>
        <w:tc>
          <w:tcPr>
            <w:tcW w:w="1838" w:type="dxa"/>
            <w:tcBorders>
              <w:top w:val="nil"/>
              <w:left w:val="nil"/>
              <w:right w:val="nil"/>
            </w:tcBorders>
          </w:tcPr>
          <w:p w14:paraId="5D9E03FA" w14:textId="77777777" w:rsidR="00492106" w:rsidRPr="00492106" w:rsidRDefault="00492106" w:rsidP="00B40051">
            <w:pPr>
              <w:spacing w:after="0" w:line="240" w:lineRule="auto"/>
              <w:jc w:val="center"/>
              <w:rPr>
                <w:rFonts w:ascii="Arial" w:eastAsia="MS Mincho" w:hAnsi="Arial" w:cs="Arial"/>
              </w:rPr>
            </w:pPr>
            <w:r w:rsidRPr="00492106">
              <w:rPr>
                <w:rFonts w:ascii="Arial" w:eastAsia="MS Mincho" w:hAnsi="Arial" w:cs="Arial"/>
              </w:rPr>
              <w:t>837</w:t>
            </w:r>
          </w:p>
        </w:tc>
        <w:tc>
          <w:tcPr>
            <w:tcW w:w="1945" w:type="dxa"/>
            <w:tcBorders>
              <w:top w:val="nil"/>
              <w:left w:val="nil"/>
              <w:right w:val="nil"/>
            </w:tcBorders>
          </w:tcPr>
          <w:p w14:paraId="120B6BDC" w14:textId="77777777" w:rsidR="00492106" w:rsidRPr="00492106" w:rsidRDefault="00492106" w:rsidP="00B40051">
            <w:pPr>
              <w:spacing w:after="0" w:line="240" w:lineRule="auto"/>
              <w:jc w:val="center"/>
              <w:rPr>
                <w:rFonts w:ascii="Arial" w:eastAsia="MS Mincho" w:hAnsi="Arial" w:cs="Arial"/>
              </w:rPr>
            </w:pPr>
            <w:r w:rsidRPr="00492106">
              <w:rPr>
                <w:rFonts w:ascii="Arial" w:eastAsia="MS Mincho" w:hAnsi="Arial" w:cs="Arial"/>
              </w:rPr>
              <w:t>43.4</w:t>
            </w:r>
          </w:p>
        </w:tc>
      </w:tr>
      <w:tr w:rsidR="00492106" w:rsidRPr="00492106" w14:paraId="2647AB39" w14:textId="77777777" w:rsidTr="00C041C7">
        <w:trPr>
          <w:jc w:val="center"/>
        </w:trPr>
        <w:tc>
          <w:tcPr>
            <w:tcW w:w="5856" w:type="dxa"/>
            <w:tcBorders>
              <w:top w:val="nil"/>
              <w:left w:val="nil"/>
              <w:bottom w:val="single" w:sz="4" w:space="0" w:color="auto"/>
              <w:right w:val="nil"/>
            </w:tcBorders>
          </w:tcPr>
          <w:p w14:paraId="2FCEDF72" w14:textId="77777777" w:rsidR="00492106" w:rsidRPr="00492106" w:rsidRDefault="00492106" w:rsidP="00B40051">
            <w:pPr>
              <w:spacing w:after="0" w:line="240" w:lineRule="auto"/>
              <w:ind w:firstLine="272"/>
              <w:rPr>
                <w:rFonts w:ascii="Arial" w:eastAsia="MS Mincho" w:hAnsi="Arial" w:cs="Arial"/>
              </w:rPr>
            </w:pPr>
            <w:r w:rsidRPr="00492106">
              <w:rPr>
                <w:rFonts w:ascii="Arial" w:eastAsia="MS Mincho" w:hAnsi="Arial" w:cs="Arial"/>
              </w:rPr>
              <w:t>Rural</w:t>
            </w:r>
          </w:p>
        </w:tc>
        <w:tc>
          <w:tcPr>
            <w:tcW w:w="1838" w:type="dxa"/>
            <w:tcBorders>
              <w:top w:val="nil"/>
              <w:left w:val="nil"/>
              <w:bottom w:val="single" w:sz="4" w:space="0" w:color="auto"/>
              <w:right w:val="nil"/>
            </w:tcBorders>
          </w:tcPr>
          <w:p w14:paraId="2E5ED542" w14:textId="77777777" w:rsidR="00492106" w:rsidRPr="00492106" w:rsidRDefault="00492106" w:rsidP="00B40051">
            <w:pPr>
              <w:spacing w:after="0" w:line="240" w:lineRule="auto"/>
              <w:jc w:val="center"/>
              <w:rPr>
                <w:rFonts w:ascii="Arial" w:eastAsia="MS Mincho" w:hAnsi="Arial" w:cs="Arial"/>
              </w:rPr>
            </w:pPr>
            <w:r w:rsidRPr="00492106">
              <w:rPr>
                <w:rFonts w:ascii="Arial" w:eastAsia="MS Mincho" w:hAnsi="Arial" w:cs="Arial"/>
              </w:rPr>
              <w:t>1092</w:t>
            </w:r>
          </w:p>
        </w:tc>
        <w:tc>
          <w:tcPr>
            <w:tcW w:w="1945" w:type="dxa"/>
            <w:tcBorders>
              <w:top w:val="nil"/>
              <w:left w:val="nil"/>
              <w:bottom w:val="single" w:sz="4" w:space="0" w:color="auto"/>
              <w:right w:val="nil"/>
            </w:tcBorders>
          </w:tcPr>
          <w:p w14:paraId="07280B57" w14:textId="77777777" w:rsidR="00492106" w:rsidRPr="00492106" w:rsidRDefault="00492106" w:rsidP="00B40051">
            <w:pPr>
              <w:spacing w:after="0" w:line="240" w:lineRule="auto"/>
              <w:jc w:val="center"/>
              <w:rPr>
                <w:rFonts w:ascii="Arial" w:eastAsia="MS Mincho" w:hAnsi="Arial" w:cs="Arial"/>
              </w:rPr>
            </w:pPr>
            <w:r w:rsidRPr="00492106">
              <w:rPr>
                <w:rFonts w:ascii="Arial" w:eastAsia="MS Mincho" w:hAnsi="Arial" w:cs="Arial"/>
              </w:rPr>
              <w:t>56.6</w:t>
            </w:r>
          </w:p>
        </w:tc>
      </w:tr>
    </w:tbl>
    <w:p w14:paraId="3EDD7C77" w14:textId="77777777" w:rsidR="00B40051" w:rsidRDefault="00B40051" w:rsidP="00492106">
      <w:pPr>
        <w:spacing w:line="360" w:lineRule="auto"/>
        <w:rPr>
          <w:rFonts w:ascii="Arial" w:hAnsi="Arial" w:cs="Arial"/>
          <w:b/>
          <w:bCs/>
        </w:rPr>
      </w:pPr>
    </w:p>
    <w:p w14:paraId="453148D0" w14:textId="3698EDCD" w:rsidR="00B40051" w:rsidRPr="00B40051" w:rsidRDefault="00B40051" w:rsidP="00B40051">
      <w:pPr>
        <w:spacing w:line="360" w:lineRule="auto"/>
        <w:ind w:firstLine="567"/>
        <w:jc w:val="both"/>
        <w:rPr>
          <w:rFonts w:ascii="Arial" w:hAnsi="Arial" w:cs="Arial"/>
        </w:rPr>
      </w:pPr>
      <w:r w:rsidRPr="00492106">
        <w:rPr>
          <w:rFonts w:ascii="Arial" w:hAnsi="Arial" w:cs="Arial"/>
        </w:rPr>
        <w:t>Table 2 shows the distribution of responednts according to the research variables. It was discovered that 1,239 of the total respondents' mothers did not ingest iron tablets according to the standard throughout pregnancy</w:t>
      </w:r>
      <w:r w:rsidR="001231CD">
        <w:rPr>
          <w:rFonts w:ascii="Arial" w:hAnsi="Arial" w:cs="Arial"/>
        </w:rPr>
        <w:t xml:space="preserve"> </w:t>
      </w:r>
      <w:r w:rsidRPr="00492106">
        <w:rPr>
          <w:rFonts w:ascii="Arial" w:hAnsi="Arial" w:cs="Arial"/>
        </w:rPr>
        <w:t>(67%). This result aligns with previous research, which reported that the prevalence of iron tablets consumption &lt; 90 tablets during pregnancy for mothers of toddlers aged 0–23 months in Indonesia was only 61.4% %</w:t>
      </w:r>
      <w:r w:rsidRPr="00492106">
        <w:rPr>
          <w:rFonts w:ascii="Arial" w:hAnsi="Arial" w:cs="Arial"/>
        </w:rPr>
        <w:fldChar w:fldCharType="begin" w:fldLock="1"/>
      </w:r>
      <w:r w:rsidR="00843872">
        <w:rPr>
          <w:rFonts w:ascii="Arial" w:hAnsi="Arial" w:cs="Arial"/>
        </w:rPr>
        <w:instrText>ADDIN CSL_CITATION {"citationItems":[{"id":"ITEM-1","itemData":{"DOI":"https://doi.org/10.51143/jksi.v7i2","ISSN":"2527-5798","abstract":"The stunting rate of children under the age of two in Indonesia increased by 3.8% from the year of 2016 to 2018. Stunting in children, besides having an impact on children's growth and development, also results in economic losses because physical growth failure reduces productivity. Cognitive failure causes decreased performance in school, so that increase health care costs. The purpose of the study was to determine the relationship between pregnancy check-ups and the consumption of blood-supplemented tablets (TTD) in pregnant women with stunting ≥ 90 tablets in Indonesia by analyzing the 2013’ Riskesdas data. The final analytical sample was 11,029 aged 0-2 years in all provinces in Indonesia. Statistical analysis was performed with chi-square at a significance level of 5%. Stunting children 0-23 months in Indonesia is 33.3%. Chi-square analysis showed that there was a relationship between standardized antenatal care and consumption of TTD in pregnant women 90 tablets with stunting in children aged 0-23 months (p&lt;0.05). Mothers who do not carry out standardized pregnancy check-ups have a 1.03 times risk of having stunting children compared to mothers who carry out standardized antenatal care. Mothers who took TTD &lt;90 tablets had a 1.05 times chance of having stunting children compared to mothers who took TTD 90 tablets. Keywords: Antenatalcare, Children under two years; Stunting; consumption of iron tablets","author":[{"dropping-particle":"","family":"Fentiana","given":"Nina","non-dropping-particle":"","parse-names":false,"suffix":""},{"dropping-particle":"","family":"Tambunan","given":"Formaida","non-dropping-particle":"","parse-names":false,"suffix":""},{"dropping-particle":"","family":"Ginting","given":"Daniel","non-dropping-particle":"","parse-names":false,"suffix":""}],"container-title":"Jurnal Keperawatan Suaka Insan (Jksi)","id":"ITEM-1","issue":"2","issued":{"date-parts":[["2022"]]},"page":"133-138","title":"Stunting, Pemeriksaan Kehamilan dan Konsumsi Tablet Tambah Darah Ibu Hamil di Indonesia: Analisis Data Riskesdas 2013","type":"article-journal","volume":"7"},"uris":["http://www.mendeley.com/documents/?uuid=9127c23a-5935-4414-9144-f5f54b45ef4d"]}],"mendeley":{"formattedCitation":"(23)","plainTextFormattedCitation":"(23)","previouslyFormattedCitation":"(23)"},"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(23)</w:t>
      </w:r>
      <w:r w:rsidRPr="00492106">
        <w:rPr>
          <w:rFonts w:ascii="Arial" w:hAnsi="Arial" w:cs="Arial"/>
        </w:rPr>
        <w:fldChar w:fldCharType="end"/>
      </w:r>
      <w:r w:rsidRPr="00492106">
        <w:rPr>
          <w:rFonts w:ascii="Arial" w:hAnsi="Arial" w:cs="Arial"/>
        </w:rPr>
        <w:t>.</w:t>
      </w:r>
      <w:r w:rsidRPr="00492106">
        <w:rPr>
          <w:rFonts w:ascii="Arial" w:hAnsi="Arial" w:cs="Arial"/>
          <w:lang w:val="en-ID" w:eastAsia="zh-CN"/>
        </w:rPr>
        <w:t xml:space="preserve"> </w:t>
      </w:r>
      <w:r w:rsidRPr="00492106">
        <w:rPr>
          <w:rFonts w:ascii="Arial" w:hAnsi="Arial" w:cs="Arial"/>
        </w:rPr>
        <w:t xml:space="preserve">As many as 51% of respondents did not receive exclusive breastfeeding when </w:t>
      </w:r>
      <w:r w:rsidRPr="00492106">
        <w:rPr>
          <w:rFonts w:ascii="Arial" w:hAnsi="Arial" w:cs="Arial"/>
        </w:rPr>
        <w:lastRenderedPageBreak/>
        <w:t xml:space="preserve">they were first offered beverages or food other than breast milk in their first 6 months, with the majority (33.2%) occurring between the ages of 0 and 7 days (33.2%). Research by </w:t>
      </w:r>
      <w:r w:rsidRPr="00492106">
        <w:rPr>
          <w:rFonts w:ascii="Arial" w:hAnsi="Arial" w:cs="Arial"/>
        </w:rPr>
        <w:fldChar w:fldCharType="begin" w:fldLock="1"/>
      </w:r>
      <w:r w:rsidR="00730ED8">
        <w:rPr>
          <w:rFonts w:ascii="Arial" w:hAnsi="Arial" w:cs="Arial"/>
        </w:rPr>
        <w:instrText>ADDIN CSL_CITATION {"citationItems":[{"id":"ITEM-1","itemData":{"DOI":"10.46729/ijstm.v2i5.318","abstract":"The present study reports the comprehensive study on the exclusive breastfeeding around support factors for successful activityof breastfeeding. In the three years lately UNICEF and WHO data on exclusive breastfeeding can reduce infant morbidity and mortality by more than 80%. The coverage of infants who are exclusively breastfed is 65.35%, the highest percentage is in West Nusa Tenggara 80.35% and the lowest percentage is in Papua 18.32%. In Indonesia, there are 35.25% of 38% of children who are sick because they cannot receive exclusive breastfeeding. Exclusive breastfeeding is given when the baby is born until the age of 6 months. This study aims to determine knowledge, work and family support related to exclusive breastfeeding behavior in the work area of ​​near with the RSIA PBH hospital in Lampung, Indonesia area in 2021. Using a cross sectional, a large sample of 120 respondents. Sampling in this study used a simple random sampling technique, and the chi-square test was carried out from January to August 2021. The results of the study were 95 respondents (79,16%) mothers who did not give exclusive breastfeeding and 25 respondents (20.84%) mothers who have exclusively breastfed their babies. There is a significant relationship between knowledge (P = 0.000 and PR = 1.588), occupation (P = 0.000 and PR = 1.995) and family support (P = 0.001 and PR = 1.514) with exclusive breastfeeding behavior in the patients inside hospital work area in 2021. The paper presents the characterization support from the company, hospital and the closest family for exclusive breastfeeding is also very important. Based on the results of the study, it is recommended that health workers make innovations and new programs to increase exclusive breastfeeding","author":[{"dropping-particle":"","family":"Mahadewi","given":"Erlina Puspitaloka","non-dropping-particle":"","parse-names":false,"suffix":""},{"dropping-particle":"","family":"Mustikawati","given":"Intan Silviana","non-dropping-particle":"","parse-names":false,"suffix":""},{"dropping-particle":"","family":"Hilmy","given":"Mohamad Reza","non-dropping-particle":"","parse-names":false,"suffix":""},{"dropping-particle":"","family":"Heryana","given":"Ade","non-dropping-particle":"","parse-names":false,"suffix":""}],"container-title":"International Journal of Science, Technology &amp; Management","id":"ITEM-1","issue":"5","issued":{"date-parts":[["2021"]]},"page":"1875-1884","title":"Exclusive Breastfeeding Behavior Analysis at Hospital in Lampung Indonesia","type":"article-journal","volume":"2"},"uris":["http://www.mendeley.com/documents/?uuid=bdf7875a-7aa0-483d-b388-794a24246bae"]}],"mendeley":{"formattedCitation":"(24)","manualFormatting":"Mahadewi et al. (2021)","plainTextFormattedCitation":"(24)","previouslyFormattedCitation":"(24)"},"properties":{"noteIndex":0},"schema":"https://github.com/citation-style-language/schema/raw/master/csl-citation.json"}</w:instrText>
      </w:r>
      <w:r w:rsidRPr="00492106">
        <w:rPr>
          <w:rFonts w:ascii="Arial" w:hAnsi="Arial" w:cs="Arial"/>
        </w:rPr>
        <w:fldChar w:fldCharType="separate"/>
      </w:r>
      <w:r w:rsidRPr="00492106">
        <w:rPr>
          <w:rFonts w:ascii="Arial" w:hAnsi="Arial" w:cs="Arial"/>
          <w:noProof/>
        </w:rPr>
        <w:t>Mahadewi et al. (2021)</w:t>
      </w:r>
      <w:r w:rsidRPr="00492106">
        <w:rPr>
          <w:rFonts w:ascii="Arial" w:hAnsi="Arial" w:cs="Arial"/>
        </w:rPr>
        <w:fldChar w:fldCharType="end"/>
      </w:r>
      <w:r w:rsidRPr="00492106">
        <w:rPr>
          <w:rFonts w:ascii="Arial" w:hAnsi="Arial" w:cs="Arial"/>
        </w:rPr>
        <w:t xml:space="preserve"> on mothers of toddlers in Bandar Lampung City also showed that 79.1% did not provide exclusive breastfeeding to their babies</w:t>
      </w:r>
      <w:r w:rsidRPr="00492106">
        <w:rPr>
          <w:rFonts w:ascii="Arial" w:hAnsi="Arial" w:cs="Arial"/>
        </w:rPr>
        <w:fldChar w:fldCharType="begin" w:fldLock="1"/>
      </w:r>
      <w:r w:rsidR="00730ED8">
        <w:rPr>
          <w:rFonts w:ascii="Arial" w:hAnsi="Arial" w:cs="Arial"/>
        </w:rPr>
        <w:instrText>ADDIN CSL_CITATION {"citationItems":[{"id":"ITEM-1","itemData":{"DOI":"10.46729/ijstm.v2i5.318","abstract":"The present study reports the comprehensive study on the exclusive breastfeeding around support factors for successful activityof breastfeeding. In the three years lately UNICEF and WHO data on exclusive breastfeeding can reduce infant morbidity and mortality by more than 80%. The coverage of infants who are exclusively breastfed is 65.35%, the highest percentage is in West Nusa Tenggara 80.35% and the lowest percentage is in Papua 18.32%. In Indonesia, there are 35.25% of 38% of children who are sick because they cannot receive exclusive breastfeeding. Exclusive breastfeeding is given when the baby is born until the age of 6 months. This study aims to determine knowledge, work and family support related to exclusive breastfeeding behavior in the work area of ​​near with the RSIA PBH hospital in Lampung, Indonesia area in 2021. Using a cross sectional, a large sample of 120 respondents. Sampling in this study used a simple random sampling technique, and the chi-square test was carried out from January to August 2021. The results of the study were 95 respondents (79,16%) mothers who did not give exclusive breastfeeding and 25 respondents (20.84%) mothers who have exclusively breastfed their babies. There is a significant relationship between knowledge (P = 0.000 and PR = 1.588), occupation (P = 0.000 and PR = 1.995) and family support (P = 0.001 and PR = 1.514) with exclusive breastfeeding behavior in the patients inside hospital work area in 2021. The paper presents the characterization support from the company, hospital and the closest family for exclusive breastfeeding is also very important. Based on the results of the study, it is recommended that health workers make innovations and new programs to increase exclusive breastfeeding","author":[{"dropping-particle":"","family":"Mahadewi","given":"Erlina Puspitaloka","non-dropping-particle":"","parse-names":false,"suffix":""},{"dropping-particle":"","family":"Mustikawati","given":"Intan Silviana","non-dropping-particle":"","parse-names":false,"suffix":""},{"dropping-particle":"","family":"Hilmy","given":"Mohamad Reza","non-dropping-particle":"","parse-names":false,"suffix":""},{"dropping-particle":"","family":"Heryana","given":"Ade","non-dropping-particle":"","parse-names":false,"suffix":""}],"container-title":"International Journal of Science, Technology &amp; Management","id":"ITEM-1","issue":"5","issued":{"date-parts":[["2021"]]},"page":"1875-1884","title":"Exclusive Breastfeeding Behavior Analysis at Hospital in Lampung Indonesia","type":"article-journal","volume":"2"},"uris":["http://www.mendeley.com/documents/?uuid=bdf7875a-7aa0-483d-b388-794a24246bae"]}],"mendeley":{"formattedCitation":"(24)","plainTextFormattedCitation":"(24)","previouslyFormattedCitation":"(24)"},"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(24)</w:t>
      </w:r>
      <w:r w:rsidRPr="00492106">
        <w:rPr>
          <w:rFonts w:ascii="Arial" w:hAnsi="Arial" w:cs="Arial"/>
        </w:rPr>
        <w:fldChar w:fldCharType="end"/>
      </w:r>
      <w:r w:rsidRPr="00492106">
        <w:rPr>
          <w:rFonts w:ascii="Arial" w:hAnsi="Arial" w:cs="Arial"/>
        </w:rPr>
        <w:t>. More than 50% of respondents in this study have conducted routine growth monitoring by utilizing Posyandu as a place for implementation. Another study conducted on toddlers on the coast of Maluku also showed that 77% of toddlers had routinely gone to Posyandu for growth monitoring</w:t>
      </w:r>
      <w:r w:rsidRPr="00492106">
        <w:rPr>
          <w:rFonts w:ascii="Arial" w:hAnsi="Arial" w:cs="Arial"/>
        </w:rPr>
        <w:fldChar w:fldCharType="begin" w:fldLock="1"/>
      </w:r>
      <w:r w:rsidR="00843872">
        <w:rPr>
          <w:rFonts w:ascii="Arial" w:hAnsi="Arial" w:cs="Arial"/>
        </w:rPr>
        <w:instrText>ADDIN CSL_CITATION {"citationItems":[{"id":"ITEM-1","itemData":{"DOI":"https://doi.org/10.47560/keb.v12i2.523","abstract":"Fish is one of the essential sources of protein and micronutrients for growth. Indonesia is the third- largest producer of fish in the world, and Maluku is the heart of the Coral Triangle, boasting the highest marine biodiversity. However, this high potential in the fishing industry does not align with the relatively high incidence of stunting in the Maluku Province. This study aims to determine whether fish consumption patterns and growth monitoring are determinants of stunting in toddlers in the working area of Hitu Public Health Center, Central Maluku Regency. This research was conducted using an unmatched case-control study method from May to September 2023. The respondents in this study consisted of 105 toddlers (35 cases and 70 controls). Data were obtained through questionnaire responses. The results of the study show that the majority of respondents consume fish, and most of them first consume fish between the ages of 12- 24 months. In terms of fish consumption frequency, non-stunted toddlers more frequently consume fish compared to stunted toddlers. Based on growth monitoring data, it is known that 23% of the toddler respondents are not regularly taken to Posyandu (integrated health posts), some parents are unaware of the weighing results (22%), and do not know how to read growth charts (36%), thus not knowing their child's nutritional status (41%). According to the chi-square test results, there is a significant relationship between fish consumption pattern and growth monitoring with stunting (x2 = 0.019 for fish consumption frequency and x2 = 0.000 for each growth monitoring variable). A campaign promoting fish consumption, education related to growth monitoring, and strengthening the role of community health workers are necessary as strategic efforts to reduce the incidence of stunting in toddlers.","author":[{"dropping-particle":"","family":"Fauziah","given":"Siska Febrina","non-dropping-particle":"","parse-names":false,"suffix":""},{"dropping-particle":"","family":"Fasiha","given":"","non-dropping-particle":"","parse-names":false,"suffix":""},{"dropping-particle":"","family":"Masi","given":"Siti Jubaeda","non-dropping-particle":"","parse-names":false,"suffix":""}],"container-title":"Jurnal Kebidanan","id":"ITEM-1","issue":"2","issued":{"date-parts":[["2023"]]},"page":"29 - 43","title":"Determinan Stunting pada Balita di Derah Pesisir Pantai","type":"article-journal","volume":"12"},"uris":["http://www.mendeley.com/documents/?uuid=94f7ad46-9406-4ece-9c52-6fd67298b653"]}],"mendeley":{"formattedCitation":"(25)","plainTextFormattedCitation":"(25)","previouslyFormattedCitation":"(25)"},"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(25)</w:t>
      </w:r>
      <w:r w:rsidRPr="00492106">
        <w:rPr>
          <w:rFonts w:ascii="Arial" w:hAnsi="Arial" w:cs="Arial"/>
        </w:rPr>
        <w:fldChar w:fldCharType="end"/>
      </w:r>
      <w:r w:rsidRPr="00492106">
        <w:rPr>
          <w:rFonts w:ascii="Arial" w:hAnsi="Arial" w:cs="Arial"/>
        </w:rPr>
        <w:t xml:space="preserve">. </w:t>
      </w:r>
    </w:p>
    <w:p w14:paraId="2ACAA8F7" w14:textId="4C5A4A34" w:rsidR="00492106" w:rsidRPr="00B40051" w:rsidRDefault="00492106" w:rsidP="00B40051">
      <w:pPr>
        <w:spacing w:after="0" w:line="240" w:lineRule="auto"/>
        <w:jc w:val="center"/>
        <w:rPr>
          <w:rFonts w:ascii="Arial" w:hAnsi="Arial" w:cs="Arial"/>
          <w:b/>
          <w:bCs/>
        </w:rPr>
      </w:pPr>
      <w:r w:rsidRPr="00B40051">
        <w:rPr>
          <w:rFonts w:ascii="Arial" w:hAnsi="Arial" w:cs="Arial"/>
          <w:b/>
          <w:bCs/>
        </w:rPr>
        <w:t>Tabel 2. Distribution of Respondents based on Research Variables</w:t>
      </w:r>
    </w:p>
    <w:tbl>
      <w:tblPr>
        <w:tblW w:w="9639" w:type="dxa"/>
        <w:jc w:val="center"/>
        <w:tblCellMar>
          <w:top w:w="15" w:type="dxa"/>
          <w:left w:w="15" w:type="dxa"/>
          <w:bottom w:w="15" w:type="dxa"/>
          <w:right w:w="15" w:type="dxa"/>
        </w:tblCellMar>
        <w:tblLook w:val="04A0" w:firstRow="1" w:lastRow="0" w:firstColumn="1" w:lastColumn="0" w:noHBand="0" w:noVBand="1"/>
      </w:tblPr>
      <w:tblGrid>
        <w:gridCol w:w="5856"/>
        <w:gridCol w:w="1838"/>
        <w:gridCol w:w="1945"/>
      </w:tblGrid>
      <w:tr w:rsidR="00E74D22" w:rsidRPr="00081D4B" w14:paraId="6103E493" w14:textId="77777777" w:rsidTr="00B10682">
        <w:trPr>
          <w:jc w:val="center"/>
        </w:trPr>
        <w:tc>
          <w:tcPr>
            <w:tcW w:w="5856" w:type="dxa"/>
            <w:tcBorders>
              <w:top w:val="outset" w:sz="6" w:space="0" w:color="auto"/>
              <w:left w:val="nil"/>
              <w:bottom w:val="outset" w:sz="6" w:space="0" w:color="auto"/>
              <w:right w:val="nil"/>
            </w:tcBorders>
          </w:tcPr>
          <w:p w14:paraId="7B7F7D9F" w14:textId="77777777" w:rsidR="00E74D22" w:rsidRPr="00E74D22" w:rsidRDefault="00E74D22" w:rsidP="00B10682">
            <w:pPr>
              <w:spacing w:after="0" w:line="240" w:lineRule="auto"/>
              <w:jc w:val="center"/>
              <w:rPr>
                <w:rFonts w:ascii="Arial" w:eastAsia="MS Mincho" w:hAnsi="Arial" w:cs="Arial"/>
                <w:b/>
                <w:bCs/>
              </w:rPr>
            </w:pPr>
            <w:bookmarkStart w:id="1" w:name="_Hlk168092103"/>
            <w:r w:rsidRPr="00E74D22">
              <w:rPr>
                <w:rFonts w:ascii="Arial" w:eastAsia="MS Mincho" w:hAnsi="Arial" w:cs="Arial"/>
                <w:b/>
                <w:bCs/>
              </w:rPr>
              <w:t>Category</w:t>
            </w:r>
          </w:p>
        </w:tc>
        <w:tc>
          <w:tcPr>
            <w:tcW w:w="1838" w:type="dxa"/>
            <w:tcBorders>
              <w:top w:val="outset" w:sz="6" w:space="0" w:color="auto"/>
              <w:left w:val="nil"/>
              <w:bottom w:val="outset" w:sz="6" w:space="0" w:color="auto"/>
              <w:right w:val="nil"/>
            </w:tcBorders>
          </w:tcPr>
          <w:p w14:paraId="65032A88" w14:textId="77777777" w:rsidR="00E74D22" w:rsidRPr="00E74D22" w:rsidRDefault="00E74D22" w:rsidP="00B10682">
            <w:pPr>
              <w:spacing w:after="0" w:line="240" w:lineRule="auto"/>
              <w:jc w:val="center"/>
              <w:rPr>
                <w:rFonts w:ascii="Arial" w:eastAsia="MS Mincho" w:hAnsi="Arial" w:cs="Arial"/>
                <w:b/>
                <w:bCs/>
              </w:rPr>
            </w:pPr>
            <w:r w:rsidRPr="00E74D22">
              <w:rPr>
                <w:rFonts w:ascii="Arial" w:eastAsia="MS Mincho" w:hAnsi="Arial" w:cs="Arial"/>
                <w:b/>
                <w:bCs/>
              </w:rPr>
              <w:t>n</w:t>
            </w:r>
          </w:p>
        </w:tc>
        <w:tc>
          <w:tcPr>
            <w:tcW w:w="1945" w:type="dxa"/>
            <w:tcBorders>
              <w:top w:val="outset" w:sz="6" w:space="0" w:color="auto"/>
              <w:left w:val="nil"/>
              <w:bottom w:val="outset" w:sz="6" w:space="0" w:color="auto"/>
              <w:right w:val="nil"/>
            </w:tcBorders>
            <w:hideMark/>
          </w:tcPr>
          <w:p w14:paraId="4583814B" w14:textId="77777777" w:rsidR="00E74D22" w:rsidRPr="00E74D22" w:rsidRDefault="00E74D22" w:rsidP="00B10682">
            <w:pPr>
              <w:spacing w:after="0" w:line="240" w:lineRule="auto"/>
              <w:jc w:val="center"/>
              <w:rPr>
                <w:rFonts w:ascii="Arial" w:eastAsia="MS Mincho" w:hAnsi="Arial" w:cs="Arial"/>
                <w:b/>
                <w:bCs/>
              </w:rPr>
            </w:pPr>
            <w:r w:rsidRPr="00E74D22">
              <w:rPr>
                <w:rFonts w:ascii="Arial" w:eastAsia="MS Mincho" w:hAnsi="Arial" w:cs="Arial"/>
                <w:b/>
                <w:bCs/>
              </w:rPr>
              <w:t xml:space="preserve"> (%)</w:t>
            </w:r>
          </w:p>
        </w:tc>
      </w:tr>
      <w:tr w:rsidR="00E74D22" w:rsidRPr="00081D4B" w14:paraId="2D7B0905" w14:textId="77777777" w:rsidTr="00B10682">
        <w:trPr>
          <w:jc w:val="center"/>
        </w:trPr>
        <w:tc>
          <w:tcPr>
            <w:tcW w:w="5856" w:type="dxa"/>
            <w:tcBorders>
              <w:top w:val="nil"/>
              <w:left w:val="nil"/>
              <w:bottom w:val="nil"/>
              <w:right w:val="nil"/>
            </w:tcBorders>
          </w:tcPr>
          <w:p w14:paraId="6D64BC6F"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Mother’s Iron Tablets Consumption</w:t>
            </w:r>
          </w:p>
        </w:tc>
        <w:tc>
          <w:tcPr>
            <w:tcW w:w="1838" w:type="dxa"/>
            <w:tcBorders>
              <w:top w:val="nil"/>
              <w:left w:val="nil"/>
              <w:bottom w:val="nil"/>
              <w:right w:val="nil"/>
            </w:tcBorders>
          </w:tcPr>
          <w:p w14:paraId="4C9DD0C8"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5D5F5635" w14:textId="77777777" w:rsidR="00E74D22" w:rsidRPr="00E74D22" w:rsidRDefault="00E74D22" w:rsidP="00B10682">
            <w:pPr>
              <w:spacing w:after="0" w:line="240" w:lineRule="auto"/>
              <w:jc w:val="center"/>
              <w:rPr>
                <w:rFonts w:ascii="Arial" w:eastAsia="MS Mincho" w:hAnsi="Arial" w:cs="Arial"/>
              </w:rPr>
            </w:pPr>
          </w:p>
        </w:tc>
      </w:tr>
      <w:tr w:rsidR="00E74D22" w:rsidRPr="00081D4B" w14:paraId="2ACE8BED" w14:textId="77777777" w:rsidTr="00B10682">
        <w:trPr>
          <w:jc w:val="center"/>
        </w:trPr>
        <w:tc>
          <w:tcPr>
            <w:tcW w:w="5856" w:type="dxa"/>
            <w:tcBorders>
              <w:top w:val="nil"/>
              <w:left w:val="nil"/>
              <w:bottom w:val="nil"/>
              <w:right w:val="nil"/>
            </w:tcBorders>
          </w:tcPr>
          <w:p w14:paraId="6415CF85"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Book Antiqua" w:hAnsi="Arial" w:cs="Arial"/>
              </w:rPr>
              <w:t>Inappropriate</w:t>
            </w:r>
          </w:p>
        </w:tc>
        <w:tc>
          <w:tcPr>
            <w:tcW w:w="1838" w:type="dxa"/>
            <w:tcBorders>
              <w:top w:val="nil"/>
              <w:left w:val="nil"/>
              <w:bottom w:val="nil"/>
              <w:right w:val="nil"/>
            </w:tcBorders>
          </w:tcPr>
          <w:p w14:paraId="33C6FED4"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1.293</w:t>
            </w:r>
          </w:p>
        </w:tc>
        <w:tc>
          <w:tcPr>
            <w:tcW w:w="1945" w:type="dxa"/>
            <w:tcBorders>
              <w:top w:val="nil"/>
              <w:left w:val="nil"/>
              <w:bottom w:val="nil"/>
              <w:right w:val="nil"/>
            </w:tcBorders>
          </w:tcPr>
          <w:p w14:paraId="742AD8DD"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67</w:t>
            </w:r>
          </w:p>
        </w:tc>
      </w:tr>
      <w:tr w:rsidR="00E74D22" w:rsidRPr="00081D4B" w14:paraId="57AB7733" w14:textId="77777777" w:rsidTr="00B10682">
        <w:trPr>
          <w:jc w:val="center"/>
        </w:trPr>
        <w:tc>
          <w:tcPr>
            <w:tcW w:w="5856" w:type="dxa"/>
            <w:tcBorders>
              <w:top w:val="nil"/>
              <w:left w:val="nil"/>
              <w:bottom w:val="nil"/>
              <w:right w:val="nil"/>
            </w:tcBorders>
          </w:tcPr>
          <w:p w14:paraId="50DABD77"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Appropriate</w:t>
            </w:r>
          </w:p>
        </w:tc>
        <w:tc>
          <w:tcPr>
            <w:tcW w:w="1838" w:type="dxa"/>
            <w:tcBorders>
              <w:top w:val="nil"/>
              <w:left w:val="nil"/>
              <w:bottom w:val="nil"/>
              <w:right w:val="nil"/>
            </w:tcBorders>
          </w:tcPr>
          <w:p w14:paraId="72A36B2C"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636</w:t>
            </w:r>
          </w:p>
        </w:tc>
        <w:tc>
          <w:tcPr>
            <w:tcW w:w="1945" w:type="dxa"/>
            <w:tcBorders>
              <w:top w:val="nil"/>
              <w:left w:val="nil"/>
              <w:bottom w:val="nil"/>
              <w:right w:val="nil"/>
            </w:tcBorders>
          </w:tcPr>
          <w:p w14:paraId="02537B3D"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33</w:t>
            </w:r>
          </w:p>
        </w:tc>
      </w:tr>
      <w:tr w:rsidR="00E74D22" w:rsidRPr="00081D4B" w14:paraId="0D6C7D32" w14:textId="77777777" w:rsidTr="00B10682">
        <w:trPr>
          <w:jc w:val="center"/>
        </w:trPr>
        <w:tc>
          <w:tcPr>
            <w:tcW w:w="5856" w:type="dxa"/>
            <w:tcBorders>
              <w:top w:val="nil"/>
              <w:left w:val="nil"/>
              <w:bottom w:val="nil"/>
              <w:right w:val="nil"/>
            </w:tcBorders>
          </w:tcPr>
          <w:p w14:paraId="6808C787"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 xml:space="preserve">Reason for not Taking Iron Tablets </w:t>
            </w:r>
          </w:p>
        </w:tc>
        <w:tc>
          <w:tcPr>
            <w:tcW w:w="1838" w:type="dxa"/>
            <w:tcBorders>
              <w:top w:val="nil"/>
              <w:left w:val="nil"/>
              <w:bottom w:val="nil"/>
              <w:right w:val="nil"/>
            </w:tcBorders>
          </w:tcPr>
          <w:p w14:paraId="33DB7B62"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06192351" w14:textId="77777777" w:rsidR="00E74D22" w:rsidRPr="00E74D22" w:rsidRDefault="00E74D22" w:rsidP="00B10682">
            <w:pPr>
              <w:spacing w:after="0" w:line="240" w:lineRule="auto"/>
              <w:jc w:val="center"/>
              <w:rPr>
                <w:rFonts w:ascii="Arial" w:eastAsia="MS Mincho" w:hAnsi="Arial" w:cs="Arial"/>
              </w:rPr>
            </w:pPr>
          </w:p>
        </w:tc>
      </w:tr>
      <w:tr w:rsidR="00E74D22" w:rsidRPr="00081D4B" w14:paraId="55507E00" w14:textId="77777777" w:rsidTr="00B10682">
        <w:trPr>
          <w:jc w:val="center"/>
        </w:trPr>
        <w:tc>
          <w:tcPr>
            <w:tcW w:w="5856" w:type="dxa"/>
            <w:tcBorders>
              <w:top w:val="nil"/>
              <w:left w:val="nil"/>
              <w:bottom w:val="nil"/>
              <w:right w:val="nil"/>
            </w:tcBorders>
          </w:tcPr>
          <w:p w14:paraId="160BA56F" w14:textId="77777777" w:rsidR="00E74D22" w:rsidRPr="00E74D22" w:rsidRDefault="00E74D22" w:rsidP="00B10682">
            <w:pPr>
              <w:spacing w:after="0" w:line="240" w:lineRule="auto"/>
              <w:ind w:left="272"/>
              <w:rPr>
                <w:rFonts w:ascii="Arial" w:eastAsia="MS Mincho" w:hAnsi="Arial" w:cs="Arial"/>
              </w:rPr>
            </w:pPr>
            <w:r w:rsidRPr="00E74D22">
              <w:rPr>
                <w:rFonts w:ascii="Arial" w:eastAsia="MS Mincho" w:hAnsi="Arial" w:cs="Arial"/>
              </w:rPr>
              <w:t>Not given by the officer</w:t>
            </w:r>
          </w:p>
        </w:tc>
        <w:tc>
          <w:tcPr>
            <w:tcW w:w="1838" w:type="dxa"/>
            <w:tcBorders>
              <w:top w:val="nil"/>
              <w:left w:val="nil"/>
              <w:bottom w:val="nil"/>
              <w:right w:val="nil"/>
            </w:tcBorders>
          </w:tcPr>
          <w:p w14:paraId="57D644A0"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69</w:t>
            </w:r>
          </w:p>
        </w:tc>
        <w:tc>
          <w:tcPr>
            <w:tcW w:w="1945" w:type="dxa"/>
            <w:tcBorders>
              <w:top w:val="nil"/>
              <w:left w:val="nil"/>
              <w:bottom w:val="nil"/>
              <w:right w:val="nil"/>
            </w:tcBorders>
          </w:tcPr>
          <w:p w14:paraId="52139BE5"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8.0</w:t>
            </w:r>
          </w:p>
        </w:tc>
      </w:tr>
      <w:tr w:rsidR="00E74D22" w:rsidRPr="00081D4B" w14:paraId="0C6DBDCA" w14:textId="77777777" w:rsidTr="00B10682">
        <w:trPr>
          <w:jc w:val="center"/>
        </w:trPr>
        <w:tc>
          <w:tcPr>
            <w:tcW w:w="5856" w:type="dxa"/>
            <w:tcBorders>
              <w:top w:val="nil"/>
              <w:left w:val="nil"/>
              <w:bottom w:val="nil"/>
              <w:right w:val="nil"/>
            </w:tcBorders>
          </w:tcPr>
          <w:p w14:paraId="0BFEAFBA"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Feels no need</w:t>
            </w:r>
          </w:p>
        </w:tc>
        <w:tc>
          <w:tcPr>
            <w:tcW w:w="1838" w:type="dxa"/>
            <w:tcBorders>
              <w:top w:val="nil"/>
              <w:left w:val="nil"/>
              <w:bottom w:val="nil"/>
              <w:right w:val="nil"/>
            </w:tcBorders>
          </w:tcPr>
          <w:p w14:paraId="44A8315C"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209</w:t>
            </w:r>
          </w:p>
        </w:tc>
        <w:tc>
          <w:tcPr>
            <w:tcW w:w="1945" w:type="dxa"/>
            <w:tcBorders>
              <w:top w:val="nil"/>
              <w:left w:val="nil"/>
              <w:bottom w:val="nil"/>
              <w:right w:val="nil"/>
            </w:tcBorders>
          </w:tcPr>
          <w:p w14:paraId="037A7882"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24.1</w:t>
            </w:r>
          </w:p>
        </w:tc>
      </w:tr>
      <w:tr w:rsidR="00E74D22" w:rsidRPr="00081D4B" w14:paraId="6CA1D6BD" w14:textId="77777777" w:rsidTr="00B10682">
        <w:trPr>
          <w:jc w:val="center"/>
        </w:trPr>
        <w:tc>
          <w:tcPr>
            <w:tcW w:w="5856" w:type="dxa"/>
            <w:tcBorders>
              <w:top w:val="nil"/>
              <w:left w:val="nil"/>
              <w:bottom w:val="nil"/>
              <w:right w:val="nil"/>
            </w:tcBorders>
          </w:tcPr>
          <w:p w14:paraId="6916A873"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Forget</w:t>
            </w:r>
          </w:p>
        </w:tc>
        <w:tc>
          <w:tcPr>
            <w:tcW w:w="1838" w:type="dxa"/>
            <w:tcBorders>
              <w:top w:val="nil"/>
              <w:left w:val="nil"/>
              <w:bottom w:val="nil"/>
              <w:right w:val="nil"/>
            </w:tcBorders>
          </w:tcPr>
          <w:p w14:paraId="25493B37"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172</w:t>
            </w:r>
          </w:p>
        </w:tc>
        <w:tc>
          <w:tcPr>
            <w:tcW w:w="1945" w:type="dxa"/>
            <w:tcBorders>
              <w:top w:val="nil"/>
              <w:left w:val="nil"/>
              <w:bottom w:val="nil"/>
              <w:right w:val="nil"/>
            </w:tcBorders>
          </w:tcPr>
          <w:p w14:paraId="057174FE"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19.9</w:t>
            </w:r>
          </w:p>
        </w:tc>
      </w:tr>
      <w:tr w:rsidR="00E74D22" w:rsidRPr="00081D4B" w14:paraId="5A683393" w14:textId="77777777" w:rsidTr="00B10682">
        <w:trPr>
          <w:jc w:val="center"/>
        </w:trPr>
        <w:tc>
          <w:tcPr>
            <w:tcW w:w="5856" w:type="dxa"/>
            <w:tcBorders>
              <w:top w:val="nil"/>
              <w:left w:val="nil"/>
              <w:bottom w:val="nil"/>
              <w:right w:val="nil"/>
            </w:tcBorders>
          </w:tcPr>
          <w:p w14:paraId="17B7FFC8"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 xml:space="preserve">Bored </w:t>
            </w:r>
          </w:p>
        </w:tc>
        <w:tc>
          <w:tcPr>
            <w:tcW w:w="1838" w:type="dxa"/>
            <w:tcBorders>
              <w:top w:val="nil"/>
              <w:left w:val="nil"/>
              <w:bottom w:val="nil"/>
              <w:right w:val="nil"/>
            </w:tcBorders>
          </w:tcPr>
          <w:p w14:paraId="08DC5D86"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75</w:t>
            </w:r>
          </w:p>
        </w:tc>
        <w:tc>
          <w:tcPr>
            <w:tcW w:w="1945" w:type="dxa"/>
            <w:tcBorders>
              <w:top w:val="nil"/>
              <w:left w:val="nil"/>
              <w:bottom w:val="nil"/>
              <w:right w:val="nil"/>
            </w:tcBorders>
          </w:tcPr>
          <w:p w14:paraId="08FC8432" w14:textId="77777777" w:rsidR="00E74D22" w:rsidRPr="00E74D22" w:rsidRDefault="00E74D22" w:rsidP="00B10682">
            <w:pPr>
              <w:spacing w:after="0" w:line="240" w:lineRule="auto"/>
              <w:jc w:val="center"/>
              <w:rPr>
                <w:rFonts w:ascii="Arial" w:eastAsia="MS Mincho" w:hAnsi="Arial" w:cs="Arial"/>
              </w:rPr>
            </w:pPr>
            <w:r w:rsidRPr="00E74D22">
              <w:rPr>
                <w:rFonts w:ascii="Arial" w:hAnsi="Arial" w:cs="Arial"/>
              </w:rPr>
              <w:t>8.7</w:t>
            </w:r>
          </w:p>
        </w:tc>
      </w:tr>
      <w:tr w:rsidR="00E74D22" w:rsidRPr="00081D4B" w14:paraId="0DDC803A" w14:textId="77777777" w:rsidTr="00B10682">
        <w:trPr>
          <w:jc w:val="center"/>
        </w:trPr>
        <w:tc>
          <w:tcPr>
            <w:tcW w:w="5856" w:type="dxa"/>
            <w:tcBorders>
              <w:top w:val="nil"/>
              <w:left w:val="nil"/>
              <w:bottom w:val="nil"/>
              <w:right w:val="nil"/>
            </w:tcBorders>
          </w:tcPr>
          <w:p w14:paraId="6A8F7E31"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The taste and smell are unpleasant</w:t>
            </w:r>
          </w:p>
        </w:tc>
        <w:tc>
          <w:tcPr>
            <w:tcW w:w="1838" w:type="dxa"/>
            <w:tcBorders>
              <w:top w:val="nil"/>
              <w:left w:val="nil"/>
              <w:bottom w:val="nil"/>
              <w:right w:val="nil"/>
            </w:tcBorders>
          </w:tcPr>
          <w:p w14:paraId="1DE91E4E"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136</w:t>
            </w:r>
          </w:p>
        </w:tc>
        <w:tc>
          <w:tcPr>
            <w:tcW w:w="1945" w:type="dxa"/>
            <w:tcBorders>
              <w:top w:val="nil"/>
              <w:left w:val="nil"/>
              <w:bottom w:val="nil"/>
              <w:right w:val="nil"/>
            </w:tcBorders>
          </w:tcPr>
          <w:p w14:paraId="133C5D85"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15.7</w:t>
            </w:r>
          </w:p>
        </w:tc>
      </w:tr>
      <w:tr w:rsidR="00E74D22" w:rsidRPr="00081D4B" w14:paraId="4ECFC6F6" w14:textId="77777777" w:rsidTr="00B10682">
        <w:trPr>
          <w:jc w:val="center"/>
        </w:trPr>
        <w:tc>
          <w:tcPr>
            <w:tcW w:w="5856" w:type="dxa"/>
            <w:tcBorders>
              <w:top w:val="nil"/>
              <w:left w:val="nil"/>
              <w:bottom w:val="nil"/>
              <w:right w:val="nil"/>
            </w:tcBorders>
          </w:tcPr>
          <w:p w14:paraId="5F2FDA6E"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Nausea and vomiting due to pregnancy</w:t>
            </w:r>
          </w:p>
        </w:tc>
        <w:tc>
          <w:tcPr>
            <w:tcW w:w="1838" w:type="dxa"/>
            <w:tcBorders>
              <w:top w:val="nil"/>
              <w:left w:val="nil"/>
              <w:bottom w:val="nil"/>
              <w:right w:val="nil"/>
            </w:tcBorders>
          </w:tcPr>
          <w:p w14:paraId="49DB91FD"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138</w:t>
            </w:r>
          </w:p>
        </w:tc>
        <w:tc>
          <w:tcPr>
            <w:tcW w:w="1945" w:type="dxa"/>
            <w:tcBorders>
              <w:top w:val="nil"/>
              <w:left w:val="nil"/>
              <w:bottom w:val="nil"/>
              <w:right w:val="nil"/>
            </w:tcBorders>
          </w:tcPr>
          <w:p w14:paraId="077C838F" w14:textId="77777777" w:rsidR="00E74D22" w:rsidRPr="00E74D22" w:rsidRDefault="00E74D22" w:rsidP="00B10682">
            <w:pPr>
              <w:spacing w:after="0" w:line="240" w:lineRule="auto"/>
              <w:jc w:val="center"/>
              <w:rPr>
                <w:rFonts w:ascii="Arial" w:eastAsia="MS Mincho" w:hAnsi="Arial" w:cs="Arial"/>
              </w:rPr>
            </w:pPr>
            <w:r w:rsidRPr="00E74D22">
              <w:rPr>
                <w:rFonts w:ascii="Arial" w:hAnsi="Arial" w:cs="Arial"/>
              </w:rPr>
              <w:t>15.9</w:t>
            </w:r>
          </w:p>
        </w:tc>
      </w:tr>
      <w:tr w:rsidR="00E74D22" w:rsidRPr="00081D4B" w14:paraId="0D20F046" w14:textId="77777777" w:rsidTr="00B10682">
        <w:trPr>
          <w:jc w:val="center"/>
        </w:trPr>
        <w:tc>
          <w:tcPr>
            <w:tcW w:w="5856" w:type="dxa"/>
            <w:tcBorders>
              <w:top w:val="nil"/>
              <w:left w:val="nil"/>
              <w:bottom w:val="nil"/>
              <w:right w:val="nil"/>
            </w:tcBorders>
          </w:tcPr>
          <w:p w14:paraId="1410A62F" w14:textId="77777777" w:rsidR="00E74D22" w:rsidRPr="00E74D22" w:rsidRDefault="00E74D22" w:rsidP="00B10682">
            <w:pPr>
              <w:spacing w:after="0" w:line="240" w:lineRule="auto"/>
              <w:ind w:left="272"/>
              <w:rPr>
                <w:rFonts w:ascii="Arial" w:eastAsia="MS Mincho" w:hAnsi="Arial" w:cs="Arial"/>
              </w:rPr>
            </w:pPr>
            <w:r w:rsidRPr="00E74D22">
              <w:rPr>
                <w:rFonts w:ascii="Arial" w:eastAsia="MS Mincho" w:hAnsi="Arial" w:cs="Arial"/>
              </w:rPr>
              <w:t>Others (empty supplies, bored, side effects, consider iron tablets are drugs, do not have money to buy)</w:t>
            </w:r>
          </w:p>
        </w:tc>
        <w:tc>
          <w:tcPr>
            <w:tcW w:w="1838" w:type="dxa"/>
            <w:tcBorders>
              <w:top w:val="nil"/>
              <w:left w:val="nil"/>
              <w:bottom w:val="nil"/>
              <w:right w:val="nil"/>
            </w:tcBorders>
          </w:tcPr>
          <w:p w14:paraId="5DC4123E"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67</w:t>
            </w:r>
          </w:p>
        </w:tc>
        <w:tc>
          <w:tcPr>
            <w:tcW w:w="1945" w:type="dxa"/>
            <w:tcBorders>
              <w:top w:val="nil"/>
              <w:left w:val="nil"/>
              <w:bottom w:val="nil"/>
              <w:right w:val="nil"/>
            </w:tcBorders>
          </w:tcPr>
          <w:p w14:paraId="45FCC511"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7.7</w:t>
            </w:r>
          </w:p>
        </w:tc>
      </w:tr>
      <w:tr w:rsidR="00E74D22" w:rsidRPr="00081D4B" w14:paraId="0994DDC2" w14:textId="77777777" w:rsidTr="00B10682">
        <w:trPr>
          <w:jc w:val="center"/>
        </w:trPr>
        <w:tc>
          <w:tcPr>
            <w:tcW w:w="5856" w:type="dxa"/>
            <w:tcBorders>
              <w:top w:val="nil"/>
              <w:left w:val="nil"/>
              <w:bottom w:val="nil"/>
              <w:right w:val="nil"/>
            </w:tcBorders>
          </w:tcPr>
          <w:p w14:paraId="43AE71C4"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Exclusive breastfeeding</w:t>
            </w:r>
          </w:p>
        </w:tc>
        <w:tc>
          <w:tcPr>
            <w:tcW w:w="1838" w:type="dxa"/>
            <w:tcBorders>
              <w:top w:val="nil"/>
              <w:left w:val="nil"/>
              <w:bottom w:val="nil"/>
              <w:right w:val="nil"/>
            </w:tcBorders>
          </w:tcPr>
          <w:p w14:paraId="164F38DC"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7844FC6D" w14:textId="77777777" w:rsidR="00E74D22" w:rsidRPr="00E74D22" w:rsidRDefault="00E74D22" w:rsidP="00B10682">
            <w:pPr>
              <w:spacing w:after="0" w:line="240" w:lineRule="auto"/>
              <w:jc w:val="center"/>
              <w:rPr>
                <w:rFonts w:ascii="Arial" w:eastAsia="MS Mincho" w:hAnsi="Arial" w:cs="Arial"/>
              </w:rPr>
            </w:pPr>
          </w:p>
        </w:tc>
      </w:tr>
      <w:tr w:rsidR="00E74D22" w:rsidRPr="00081D4B" w14:paraId="4F39046A" w14:textId="77777777" w:rsidTr="00B10682">
        <w:trPr>
          <w:jc w:val="center"/>
        </w:trPr>
        <w:tc>
          <w:tcPr>
            <w:tcW w:w="5856" w:type="dxa"/>
            <w:tcBorders>
              <w:top w:val="nil"/>
              <w:left w:val="nil"/>
              <w:bottom w:val="nil"/>
              <w:right w:val="nil"/>
            </w:tcBorders>
          </w:tcPr>
          <w:p w14:paraId="2F0C0E34"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Non-Exclusive</w:t>
            </w:r>
          </w:p>
        </w:tc>
        <w:tc>
          <w:tcPr>
            <w:tcW w:w="1838" w:type="dxa"/>
            <w:tcBorders>
              <w:top w:val="nil"/>
              <w:left w:val="nil"/>
              <w:bottom w:val="nil"/>
              <w:right w:val="nil"/>
            </w:tcBorders>
          </w:tcPr>
          <w:p w14:paraId="7C89B99A"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984</w:t>
            </w:r>
          </w:p>
        </w:tc>
        <w:tc>
          <w:tcPr>
            <w:tcW w:w="1945" w:type="dxa"/>
            <w:tcBorders>
              <w:top w:val="nil"/>
              <w:left w:val="nil"/>
              <w:bottom w:val="nil"/>
              <w:right w:val="nil"/>
            </w:tcBorders>
          </w:tcPr>
          <w:p w14:paraId="4AA24B8C"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51</w:t>
            </w:r>
          </w:p>
        </w:tc>
      </w:tr>
      <w:tr w:rsidR="00E74D22" w:rsidRPr="00081D4B" w14:paraId="148EC990" w14:textId="77777777" w:rsidTr="00B10682">
        <w:trPr>
          <w:jc w:val="center"/>
        </w:trPr>
        <w:tc>
          <w:tcPr>
            <w:tcW w:w="5856" w:type="dxa"/>
            <w:tcBorders>
              <w:top w:val="nil"/>
              <w:left w:val="nil"/>
              <w:bottom w:val="nil"/>
              <w:right w:val="nil"/>
            </w:tcBorders>
          </w:tcPr>
          <w:p w14:paraId="596B2615"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Exclusive</w:t>
            </w:r>
          </w:p>
        </w:tc>
        <w:tc>
          <w:tcPr>
            <w:tcW w:w="1838" w:type="dxa"/>
            <w:tcBorders>
              <w:top w:val="nil"/>
              <w:left w:val="nil"/>
              <w:bottom w:val="nil"/>
              <w:right w:val="nil"/>
            </w:tcBorders>
          </w:tcPr>
          <w:p w14:paraId="7EA0C9B8"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945</w:t>
            </w:r>
          </w:p>
        </w:tc>
        <w:tc>
          <w:tcPr>
            <w:tcW w:w="1945" w:type="dxa"/>
            <w:tcBorders>
              <w:top w:val="nil"/>
              <w:left w:val="nil"/>
              <w:bottom w:val="nil"/>
              <w:right w:val="nil"/>
            </w:tcBorders>
          </w:tcPr>
          <w:p w14:paraId="79678CBB"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49</w:t>
            </w:r>
          </w:p>
        </w:tc>
      </w:tr>
      <w:tr w:rsidR="00E74D22" w:rsidRPr="00081D4B" w14:paraId="090F6173" w14:textId="77777777" w:rsidTr="00B10682">
        <w:trPr>
          <w:jc w:val="center"/>
        </w:trPr>
        <w:tc>
          <w:tcPr>
            <w:tcW w:w="5856" w:type="dxa"/>
            <w:tcBorders>
              <w:top w:val="nil"/>
              <w:left w:val="nil"/>
              <w:bottom w:val="nil"/>
              <w:right w:val="nil"/>
            </w:tcBorders>
          </w:tcPr>
          <w:p w14:paraId="44D754E1"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First age of introduction to foods other than breast milk</w:t>
            </w:r>
          </w:p>
        </w:tc>
        <w:tc>
          <w:tcPr>
            <w:tcW w:w="1838" w:type="dxa"/>
            <w:tcBorders>
              <w:top w:val="nil"/>
              <w:left w:val="nil"/>
              <w:bottom w:val="nil"/>
              <w:right w:val="nil"/>
            </w:tcBorders>
          </w:tcPr>
          <w:p w14:paraId="13E02517"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18FBA5AB" w14:textId="77777777" w:rsidR="00E74D22" w:rsidRPr="00E74D22" w:rsidRDefault="00E74D22" w:rsidP="00B10682">
            <w:pPr>
              <w:spacing w:after="0" w:line="240" w:lineRule="auto"/>
              <w:jc w:val="center"/>
              <w:rPr>
                <w:rFonts w:ascii="Arial" w:eastAsia="MS Mincho" w:hAnsi="Arial" w:cs="Arial"/>
              </w:rPr>
            </w:pPr>
          </w:p>
        </w:tc>
      </w:tr>
      <w:tr w:rsidR="00E74D22" w:rsidRPr="00081D4B" w14:paraId="59E8C3AC" w14:textId="77777777" w:rsidTr="00B10682">
        <w:trPr>
          <w:jc w:val="center"/>
        </w:trPr>
        <w:tc>
          <w:tcPr>
            <w:tcW w:w="5856" w:type="dxa"/>
            <w:tcBorders>
              <w:top w:val="nil"/>
              <w:left w:val="nil"/>
              <w:bottom w:val="nil"/>
              <w:right w:val="nil"/>
            </w:tcBorders>
          </w:tcPr>
          <w:p w14:paraId="2E1A2177"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0 – 7 days</w:t>
            </w:r>
          </w:p>
        </w:tc>
        <w:tc>
          <w:tcPr>
            <w:tcW w:w="1838" w:type="dxa"/>
            <w:tcBorders>
              <w:top w:val="nil"/>
              <w:left w:val="nil"/>
              <w:bottom w:val="nil"/>
              <w:right w:val="nil"/>
            </w:tcBorders>
          </w:tcPr>
          <w:p w14:paraId="3B829DE9"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641</w:t>
            </w:r>
          </w:p>
        </w:tc>
        <w:tc>
          <w:tcPr>
            <w:tcW w:w="1945" w:type="dxa"/>
            <w:tcBorders>
              <w:top w:val="nil"/>
              <w:left w:val="nil"/>
              <w:bottom w:val="nil"/>
              <w:right w:val="nil"/>
            </w:tcBorders>
          </w:tcPr>
          <w:p w14:paraId="1CF0B8A8"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33.2</w:t>
            </w:r>
          </w:p>
        </w:tc>
      </w:tr>
      <w:tr w:rsidR="00E74D22" w:rsidRPr="00081D4B" w14:paraId="066C98D1" w14:textId="77777777" w:rsidTr="00B10682">
        <w:trPr>
          <w:jc w:val="center"/>
        </w:trPr>
        <w:tc>
          <w:tcPr>
            <w:tcW w:w="5856" w:type="dxa"/>
            <w:tcBorders>
              <w:top w:val="nil"/>
              <w:left w:val="nil"/>
              <w:bottom w:val="nil"/>
              <w:right w:val="nil"/>
            </w:tcBorders>
          </w:tcPr>
          <w:p w14:paraId="51A771A1"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8 – 29 days</w:t>
            </w:r>
          </w:p>
        </w:tc>
        <w:tc>
          <w:tcPr>
            <w:tcW w:w="1838" w:type="dxa"/>
            <w:tcBorders>
              <w:top w:val="nil"/>
              <w:left w:val="nil"/>
              <w:bottom w:val="nil"/>
              <w:right w:val="nil"/>
            </w:tcBorders>
          </w:tcPr>
          <w:p w14:paraId="1FBF06A8"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23</w:t>
            </w:r>
          </w:p>
        </w:tc>
        <w:tc>
          <w:tcPr>
            <w:tcW w:w="1945" w:type="dxa"/>
            <w:tcBorders>
              <w:top w:val="nil"/>
              <w:left w:val="nil"/>
              <w:bottom w:val="nil"/>
              <w:right w:val="nil"/>
            </w:tcBorders>
          </w:tcPr>
          <w:p w14:paraId="7E6F1459"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1.2</w:t>
            </w:r>
          </w:p>
        </w:tc>
      </w:tr>
      <w:tr w:rsidR="00E74D22" w:rsidRPr="00081D4B" w14:paraId="66583E0E" w14:textId="77777777" w:rsidTr="00B10682">
        <w:trPr>
          <w:jc w:val="center"/>
        </w:trPr>
        <w:tc>
          <w:tcPr>
            <w:tcW w:w="5856" w:type="dxa"/>
            <w:tcBorders>
              <w:top w:val="nil"/>
              <w:left w:val="nil"/>
              <w:bottom w:val="nil"/>
              <w:right w:val="nil"/>
            </w:tcBorders>
          </w:tcPr>
          <w:p w14:paraId="0F2F2E6B"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1 – &lt; 2 months</w:t>
            </w:r>
          </w:p>
        </w:tc>
        <w:tc>
          <w:tcPr>
            <w:tcW w:w="1838" w:type="dxa"/>
            <w:tcBorders>
              <w:top w:val="nil"/>
              <w:left w:val="nil"/>
              <w:bottom w:val="nil"/>
              <w:right w:val="nil"/>
            </w:tcBorders>
          </w:tcPr>
          <w:p w14:paraId="201483F5"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49</w:t>
            </w:r>
          </w:p>
        </w:tc>
        <w:tc>
          <w:tcPr>
            <w:tcW w:w="1945" w:type="dxa"/>
            <w:tcBorders>
              <w:top w:val="nil"/>
              <w:left w:val="nil"/>
              <w:bottom w:val="nil"/>
              <w:right w:val="nil"/>
            </w:tcBorders>
          </w:tcPr>
          <w:p w14:paraId="4E17139D"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2.5</w:t>
            </w:r>
          </w:p>
        </w:tc>
      </w:tr>
      <w:tr w:rsidR="00E74D22" w:rsidRPr="00081D4B" w14:paraId="3B03E74F" w14:textId="77777777" w:rsidTr="00B10682">
        <w:trPr>
          <w:jc w:val="center"/>
        </w:trPr>
        <w:tc>
          <w:tcPr>
            <w:tcW w:w="5856" w:type="dxa"/>
            <w:tcBorders>
              <w:top w:val="nil"/>
              <w:left w:val="nil"/>
              <w:bottom w:val="nil"/>
              <w:right w:val="nil"/>
            </w:tcBorders>
          </w:tcPr>
          <w:p w14:paraId="62519EFD"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2 – &lt; 3 months</w:t>
            </w:r>
          </w:p>
        </w:tc>
        <w:tc>
          <w:tcPr>
            <w:tcW w:w="1838" w:type="dxa"/>
            <w:tcBorders>
              <w:top w:val="nil"/>
              <w:left w:val="nil"/>
              <w:bottom w:val="nil"/>
              <w:right w:val="nil"/>
            </w:tcBorders>
          </w:tcPr>
          <w:p w14:paraId="704D2C12"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48</w:t>
            </w:r>
          </w:p>
        </w:tc>
        <w:tc>
          <w:tcPr>
            <w:tcW w:w="1945" w:type="dxa"/>
            <w:tcBorders>
              <w:top w:val="nil"/>
              <w:left w:val="nil"/>
              <w:bottom w:val="nil"/>
              <w:right w:val="nil"/>
            </w:tcBorders>
          </w:tcPr>
          <w:p w14:paraId="5BA09869"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2.5</w:t>
            </w:r>
          </w:p>
        </w:tc>
      </w:tr>
      <w:tr w:rsidR="00E74D22" w:rsidRPr="00081D4B" w14:paraId="742C3826" w14:textId="77777777" w:rsidTr="00B10682">
        <w:trPr>
          <w:jc w:val="center"/>
        </w:trPr>
        <w:tc>
          <w:tcPr>
            <w:tcW w:w="5856" w:type="dxa"/>
            <w:tcBorders>
              <w:top w:val="nil"/>
              <w:left w:val="nil"/>
              <w:bottom w:val="nil"/>
              <w:right w:val="nil"/>
            </w:tcBorders>
          </w:tcPr>
          <w:p w14:paraId="1FCDA282"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3 – &lt; 4 months</w:t>
            </w:r>
          </w:p>
        </w:tc>
        <w:tc>
          <w:tcPr>
            <w:tcW w:w="1838" w:type="dxa"/>
            <w:tcBorders>
              <w:top w:val="nil"/>
              <w:left w:val="nil"/>
              <w:bottom w:val="nil"/>
              <w:right w:val="nil"/>
            </w:tcBorders>
          </w:tcPr>
          <w:p w14:paraId="2EE022C7"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57</w:t>
            </w:r>
          </w:p>
        </w:tc>
        <w:tc>
          <w:tcPr>
            <w:tcW w:w="1945" w:type="dxa"/>
            <w:tcBorders>
              <w:top w:val="nil"/>
              <w:left w:val="nil"/>
              <w:bottom w:val="nil"/>
              <w:right w:val="nil"/>
            </w:tcBorders>
          </w:tcPr>
          <w:p w14:paraId="67A3060E"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3.0</w:t>
            </w:r>
          </w:p>
        </w:tc>
      </w:tr>
      <w:tr w:rsidR="00E74D22" w:rsidRPr="00081D4B" w14:paraId="0C7F5794" w14:textId="77777777" w:rsidTr="00B10682">
        <w:trPr>
          <w:jc w:val="center"/>
        </w:trPr>
        <w:tc>
          <w:tcPr>
            <w:tcW w:w="5856" w:type="dxa"/>
            <w:tcBorders>
              <w:top w:val="nil"/>
              <w:left w:val="nil"/>
              <w:bottom w:val="nil"/>
              <w:right w:val="nil"/>
            </w:tcBorders>
          </w:tcPr>
          <w:p w14:paraId="5F730DAD"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4 – &lt; 5 months</w:t>
            </w:r>
          </w:p>
        </w:tc>
        <w:tc>
          <w:tcPr>
            <w:tcW w:w="1838" w:type="dxa"/>
            <w:tcBorders>
              <w:top w:val="nil"/>
              <w:left w:val="nil"/>
              <w:bottom w:val="nil"/>
              <w:right w:val="nil"/>
            </w:tcBorders>
          </w:tcPr>
          <w:p w14:paraId="5BE09A0F"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46</w:t>
            </w:r>
          </w:p>
        </w:tc>
        <w:tc>
          <w:tcPr>
            <w:tcW w:w="1945" w:type="dxa"/>
            <w:tcBorders>
              <w:top w:val="nil"/>
              <w:left w:val="nil"/>
              <w:bottom w:val="nil"/>
              <w:right w:val="nil"/>
            </w:tcBorders>
          </w:tcPr>
          <w:p w14:paraId="52832716"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2.4</w:t>
            </w:r>
          </w:p>
        </w:tc>
      </w:tr>
      <w:tr w:rsidR="00E74D22" w:rsidRPr="00081D4B" w14:paraId="5F76B6CD" w14:textId="77777777" w:rsidTr="00B10682">
        <w:trPr>
          <w:jc w:val="center"/>
        </w:trPr>
        <w:tc>
          <w:tcPr>
            <w:tcW w:w="5856" w:type="dxa"/>
            <w:tcBorders>
              <w:top w:val="nil"/>
              <w:left w:val="nil"/>
              <w:bottom w:val="nil"/>
              <w:right w:val="nil"/>
            </w:tcBorders>
          </w:tcPr>
          <w:p w14:paraId="0C4F816A"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5 – &lt; 6 months</w:t>
            </w:r>
          </w:p>
        </w:tc>
        <w:tc>
          <w:tcPr>
            <w:tcW w:w="1838" w:type="dxa"/>
            <w:tcBorders>
              <w:top w:val="nil"/>
              <w:left w:val="nil"/>
              <w:bottom w:val="nil"/>
              <w:right w:val="nil"/>
            </w:tcBorders>
          </w:tcPr>
          <w:p w14:paraId="61247F45"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 xml:space="preserve">120 </w:t>
            </w:r>
          </w:p>
        </w:tc>
        <w:tc>
          <w:tcPr>
            <w:tcW w:w="1945" w:type="dxa"/>
            <w:tcBorders>
              <w:top w:val="nil"/>
              <w:left w:val="nil"/>
              <w:bottom w:val="nil"/>
              <w:right w:val="nil"/>
            </w:tcBorders>
          </w:tcPr>
          <w:p w14:paraId="50336A02"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6.2</w:t>
            </w:r>
          </w:p>
        </w:tc>
      </w:tr>
      <w:tr w:rsidR="00E74D22" w:rsidRPr="00081D4B" w14:paraId="2C061C30" w14:textId="77777777" w:rsidTr="00B10682">
        <w:trPr>
          <w:jc w:val="center"/>
        </w:trPr>
        <w:tc>
          <w:tcPr>
            <w:tcW w:w="5856" w:type="dxa"/>
            <w:tcBorders>
              <w:top w:val="nil"/>
              <w:left w:val="nil"/>
              <w:bottom w:val="nil"/>
              <w:right w:val="nil"/>
            </w:tcBorders>
          </w:tcPr>
          <w:p w14:paraId="684FBBC6"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 6 months</w:t>
            </w:r>
          </w:p>
        </w:tc>
        <w:tc>
          <w:tcPr>
            <w:tcW w:w="1838" w:type="dxa"/>
            <w:tcBorders>
              <w:top w:val="nil"/>
              <w:left w:val="nil"/>
              <w:bottom w:val="nil"/>
              <w:right w:val="nil"/>
            </w:tcBorders>
          </w:tcPr>
          <w:p w14:paraId="55E38AF2"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945</w:t>
            </w:r>
          </w:p>
        </w:tc>
        <w:tc>
          <w:tcPr>
            <w:tcW w:w="1945" w:type="dxa"/>
            <w:tcBorders>
              <w:top w:val="nil"/>
              <w:left w:val="nil"/>
              <w:bottom w:val="nil"/>
              <w:right w:val="nil"/>
            </w:tcBorders>
          </w:tcPr>
          <w:p w14:paraId="155654F6"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49.0</w:t>
            </w:r>
          </w:p>
        </w:tc>
      </w:tr>
      <w:tr w:rsidR="00E74D22" w:rsidRPr="00081D4B" w14:paraId="5440B8AB" w14:textId="77777777" w:rsidTr="00B10682">
        <w:trPr>
          <w:jc w:val="center"/>
        </w:trPr>
        <w:tc>
          <w:tcPr>
            <w:tcW w:w="5856" w:type="dxa"/>
            <w:tcBorders>
              <w:top w:val="nil"/>
              <w:left w:val="nil"/>
              <w:bottom w:val="nil"/>
              <w:right w:val="nil"/>
            </w:tcBorders>
          </w:tcPr>
          <w:p w14:paraId="01742779"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Growth Monitoring</w:t>
            </w:r>
          </w:p>
        </w:tc>
        <w:tc>
          <w:tcPr>
            <w:tcW w:w="1838" w:type="dxa"/>
            <w:tcBorders>
              <w:top w:val="nil"/>
              <w:left w:val="nil"/>
              <w:bottom w:val="nil"/>
              <w:right w:val="nil"/>
            </w:tcBorders>
          </w:tcPr>
          <w:p w14:paraId="601AEBC0"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03D317B2" w14:textId="77777777" w:rsidR="00E74D22" w:rsidRPr="00E74D22" w:rsidRDefault="00E74D22" w:rsidP="00B10682">
            <w:pPr>
              <w:spacing w:after="0" w:line="240" w:lineRule="auto"/>
              <w:jc w:val="center"/>
              <w:rPr>
                <w:rFonts w:ascii="Arial" w:eastAsia="MS Mincho" w:hAnsi="Arial" w:cs="Arial"/>
              </w:rPr>
            </w:pPr>
          </w:p>
        </w:tc>
      </w:tr>
      <w:tr w:rsidR="00E74D22" w:rsidRPr="00081D4B" w14:paraId="703CCFE9" w14:textId="77777777" w:rsidTr="00B10682">
        <w:trPr>
          <w:jc w:val="center"/>
        </w:trPr>
        <w:tc>
          <w:tcPr>
            <w:tcW w:w="5856" w:type="dxa"/>
            <w:tcBorders>
              <w:top w:val="nil"/>
              <w:left w:val="nil"/>
              <w:bottom w:val="nil"/>
              <w:right w:val="nil"/>
            </w:tcBorders>
          </w:tcPr>
          <w:p w14:paraId="51F94A04"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Not Routine</w:t>
            </w:r>
          </w:p>
        </w:tc>
        <w:tc>
          <w:tcPr>
            <w:tcW w:w="1838" w:type="dxa"/>
            <w:tcBorders>
              <w:top w:val="nil"/>
              <w:left w:val="nil"/>
              <w:bottom w:val="nil"/>
              <w:right w:val="nil"/>
            </w:tcBorders>
          </w:tcPr>
          <w:p w14:paraId="639969BF"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851</w:t>
            </w:r>
          </w:p>
        </w:tc>
        <w:tc>
          <w:tcPr>
            <w:tcW w:w="1945" w:type="dxa"/>
            <w:tcBorders>
              <w:top w:val="nil"/>
              <w:left w:val="nil"/>
              <w:bottom w:val="nil"/>
              <w:right w:val="nil"/>
            </w:tcBorders>
          </w:tcPr>
          <w:p w14:paraId="0F7AAC9E"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44.1</w:t>
            </w:r>
          </w:p>
        </w:tc>
      </w:tr>
      <w:tr w:rsidR="00E74D22" w:rsidRPr="00081D4B" w14:paraId="3E77A0A1" w14:textId="77777777" w:rsidTr="00B10682">
        <w:trPr>
          <w:jc w:val="center"/>
        </w:trPr>
        <w:tc>
          <w:tcPr>
            <w:tcW w:w="5856" w:type="dxa"/>
            <w:tcBorders>
              <w:top w:val="nil"/>
              <w:left w:val="nil"/>
              <w:bottom w:val="nil"/>
              <w:right w:val="nil"/>
            </w:tcBorders>
          </w:tcPr>
          <w:p w14:paraId="6801056B"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Routine</w:t>
            </w:r>
          </w:p>
        </w:tc>
        <w:tc>
          <w:tcPr>
            <w:tcW w:w="1838" w:type="dxa"/>
            <w:tcBorders>
              <w:top w:val="nil"/>
              <w:left w:val="nil"/>
              <w:bottom w:val="nil"/>
              <w:right w:val="nil"/>
            </w:tcBorders>
          </w:tcPr>
          <w:p w14:paraId="0A39C9BE"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1.078</w:t>
            </w:r>
          </w:p>
        </w:tc>
        <w:tc>
          <w:tcPr>
            <w:tcW w:w="1945" w:type="dxa"/>
            <w:tcBorders>
              <w:top w:val="nil"/>
              <w:left w:val="nil"/>
              <w:bottom w:val="nil"/>
              <w:right w:val="nil"/>
            </w:tcBorders>
          </w:tcPr>
          <w:p w14:paraId="65FD38C4"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55.9</w:t>
            </w:r>
          </w:p>
        </w:tc>
      </w:tr>
      <w:tr w:rsidR="00E74D22" w:rsidRPr="00081D4B" w14:paraId="4CDC226E" w14:textId="77777777" w:rsidTr="00B10682">
        <w:trPr>
          <w:jc w:val="center"/>
        </w:trPr>
        <w:tc>
          <w:tcPr>
            <w:tcW w:w="5856" w:type="dxa"/>
            <w:tcBorders>
              <w:top w:val="nil"/>
              <w:left w:val="nil"/>
              <w:bottom w:val="nil"/>
              <w:right w:val="nil"/>
            </w:tcBorders>
          </w:tcPr>
          <w:p w14:paraId="0E5A09C6" w14:textId="77777777" w:rsidR="00E74D22" w:rsidRPr="00E74D22" w:rsidRDefault="00E74D22" w:rsidP="00B10682">
            <w:pPr>
              <w:spacing w:after="0" w:line="240" w:lineRule="auto"/>
              <w:rPr>
                <w:rFonts w:ascii="Arial" w:hAnsi="Arial" w:cs="Arial"/>
                <w:lang w:val="en-ID" w:eastAsia="zh-CN"/>
              </w:rPr>
            </w:pPr>
            <w:r w:rsidRPr="00E74D22">
              <w:rPr>
                <w:rFonts w:ascii="Arial" w:eastAsia="MS Mincho" w:hAnsi="Arial" w:cs="Arial"/>
              </w:rPr>
              <w:t>Location of Growth Monitoring</w:t>
            </w:r>
          </w:p>
        </w:tc>
        <w:tc>
          <w:tcPr>
            <w:tcW w:w="1838" w:type="dxa"/>
            <w:tcBorders>
              <w:top w:val="nil"/>
              <w:left w:val="nil"/>
              <w:bottom w:val="nil"/>
              <w:right w:val="nil"/>
            </w:tcBorders>
          </w:tcPr>
          <w:p w14:paraId="2F3596C5"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35E5D2FE" w14:textId="77777777" w:rsidR="00E74D22" w:rsidRPr="00E74D22" w:rsidRDefault="00E74D22" w:rsidP="00B10682">
            <w:pPr>
              <w:spacing w:after="0" w:line="240" w:lineRule="auto"/>
              <w:jc w:val="center"/>
              <w:rPr>
                <w:rFonts w:ascii="Arial" w:eastAsia="MS Mincho" w:hAnsi="Arial" w:cs="Arial"/>
              </w:rPr>
            </w:pPr>
          </w:p>
        </w:tc>
      </w:tr>
      <w:tr w:rsidR="00E74D22" w:rsidRPr="00081D4B" w14:paraId="26EBFA4B" w14:textId="77777777" w:rsidTr="00B10682">
        <w:trPr>
          <w:jc w:val="center"/>
        </w:trPr>
        <w:tc>
          <w:tcPr>
            <w:tcW w:w="5856" w:type="dxa"/>
            <w:tcBorders>
              <w:top w:val="nil"/>
              <w:left w:val="nil"/>
              <w:bottom w:val="nil"/>
              <w:right w:val="nil"/>
            </w:tcBorders>
          </w:tcPr>
          <w:p w14:paraId="3421ACBB"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 xml:space="preserve">     Clinic/doctor/midwife/nurse</w:t>
            </w:r>
          </w:p>
        </w:tc>
        <w:tc>
          <w:tcPr>
            <w:tcW w:w="1838" w:type="dxa"/>
            <w:tcBorders>
              <w:top w:val="nil"/>
              <w:left w:val="nil"/>
              <w:bottom w:val="nil"/>
              <w:right w:val="nil"/>
            </w:tcBorders>
          </w:tcPr>
          <w:p w14:paraId="0AEC4273"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 xml:space="preserve">58 </w:t>
            </w:r>
          </w:p>
        </w:tc>
        <w:tc>
          <w:tcPr>
            <w:tcW w:w="1945" w:type="dxa"/>
            <w:tcBorders>
              <w:top w:val="nil"/>
              <w:left w:val="nil"/>
              <w:bottom w:val="nil"/>
              <w:right w:val="nil"/>
            </w:tcBorders>
          </w:tcPr>
          <w:p w14:paraId="24BDF851"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3.0</w:t>
            </w:r>
          </w:p>
        </w:tc>
      </w:tr>
      <w:tr w:rsidR="00E74D22" w:rsidRPr="00081D4B" w14:paraId="3BF12A60" w14:textId="77777777" w:rsidTr="00B10682">
        <w:trPr>
          <w:jc w:val="center"/>
        </w:trPr>
        <w:tc>
          <w:tcPr>
            <w:tcW w:w="5856" w:type="dxa"/>
            <w:tcBorders>
              <w:top w:val="nil"/>
              <w:left w:val="nil"/>
              <w:bottom w:val="nil"/>
              <w:right w:val="nil"/>
            </w:tcBorders>
          </w:tcPr>
          <w:p w14:paraId="45EDD1EF"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Posyandu</w:t>
            </w:r>
          </w:p>
        </w:tc>
        <w:tc>
          <w:tcPr>
            <w:tcW w:w="1838" w:type="dxa"/>
            <w:tcBorders>
              <w:top w:val="nil"/>
              <w:left w:val="nil"/>
              <w:bottom w:val="nil"/>
              <w:right w:val="nil"/>
            </w:tcBorders>
          </w:tcPr>
          <w:p w14:paraId="4F9B8AA0"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1618</w:t>
            </w:r>
          </w:p>
        </w:tc>
        <w:tc>
          <w:tcPr>
            <w:tcW w:w="1945" w:type="dxa"/>
            <w:tcBorders>
              <w:top w:val="nil"/>
              <w:left w:val="nil"/>
              <w:bottom w:val="nil"/>
              <w:right w:val="nil"/>
            </w:tcBorders>
          </w:tcPr>
          <w:p w14:paraId="1D21FCEF"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83.9</w:t>
            </w:r>
          </w:p>
        </w:tc>
      </w:tr>
      <w:tr w:rsidR="00E74D22" w:rsidRPr="00081D4B" w14:paraId="78765CF8" w14:textId="77777777" w:rsidTr="00B10682">
        <w:trPr>
          <w:jc w:val="center"/>
        </w:trPr>
        <w:tc>
          <w:tcPr>
            <w:tcW w:w="5856" w:type="dxa"/>
            <w:tcBorders>
              <w:top w:val="nil"/>
              <w:left w:val="nil"/>
              <w:bottom w:val="nil"/>
              <w:right w:val="nil"/>
            </w:tcBorders>
          </w:tcPr>
          <w:p w14:paraId="2DF37EA4"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Self-checking</w:t>
            </w:r>
          </w:p>
        </w:tc>
        <w:tc>
          <w:tcPr>
            <w:tcW w:w="1838" w:type="dxa"/>
            <w:tcBorders>
              <w:top w:val="nil"/>
              <w:left w:val="nil"/>
              <w:bottom w:val="nil"/>
              <w:right w:val="nil"/>
            </w:tcBorders>
          </w:tcPr>
          <w:p w14:paraId="714E2447"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28</w:t>
            </w:r>
          </w:p>
        </w:tc>
        <w:tc>
          <w:tcPr>
            <w:tcW w:w="1945" w:type="dxa"/>
            <w:tcBorders>
              <w:top w:val="nil"/>
              <w:left w:val="nil"/>
              <w:bottom w:val="nil"/>
              <w:right w:val="nil"/>
            </w:tcBorders>
          </w:tcPr>
          <w:p w14:paraId="5DD2BBAA"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1.5</w:t>
            </w:r>
          </w:p>
        </w:tc>
      </w:tr>
      <w:tr w:rsidR="00E74D22" w:rsidRPr="00081D4B" w14:paraId="7F041225" w14:textId="77777777" w:rsidTr="00B10682">
        <w:trPr>
          <w:jc w:val="center"/>
        </w:trPr>
        <w:tc>
          <w:tcPr>
            <w:tcW w:w="5856" w:type="dxa"/>
            <w:tcBorders>
              <w:top w:val="nil"/>
              <w:left w:val="nil"/>
              <w:bottom w:val="nil"/>
              <w:right w:val="nil"/>
            </w:tcBorders>
          </w:tcPr>
          <w:p w14:paraId="6FD98BBB"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Nowhere</w:t>
            </w:r>
          </w:p>
        </w:tc>
        <w:tc>
          <w:tcPr>
            <w:tcW w:w="1838" w:type="dxa"/>
            <w:tcBorders>
              <w:top w:val="nil"/>
              <w:left w:val="nil"/>
              <w:bottom w:val="nil"/>
              <w:right w:val="nil"/>
            </w:tcBorders>
          </w:tcPr>
          <w:p w14:paraId="07D265AB"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212</w:t>
            </w:r>
          </w:p>
        </w:tc>
        <w:tc>
          <w:tcPr>
            <w:tcW w:w="1945" w:type="dxa"/>
            <w:tcBorders>
              <w:top w:val="nil"/>
              <w:left w:val="nil"/>
              <w:bottom w:val="nil"/>
              <w:right w:val="nil"/>
            </w:tcBorders>
          </w:tcPr>
          <w:p w14:paraId="2D9317C8"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11</w:t>
            </w:r>
          </w:p>
        </w:tc>
      </w:tr>
      <w:tr w:rsidR="00E74D22" w:rsidRPr="00081D4B" w14:paraId="535EE496" w14:textId="77777777" w:rsidTr="00B10682">
        <w:trPr>
          <w:jc w:val="center"/>
        </w:trPr>
        <w:tc>
          <w:tcPr>
            <w:tcW w:w="5856" w:type="dxa"/>
            <w:tcBorders>
              <w:top w:val="nil"/>
              <w:left w:val="nil"/>
              <w:bottom w:val="nil"/>
              <w:right w:val="nil"/>
            </w:tcBorders>
          </w:tcPr>
          <w:p w14:paraId="5A390203" w14:textId="77777777" w:rsidR="00E74D22" w:rsidRPr="00E74D22" w:rsidRDefault="00E74D22" w:rsidP="00B10682">
            <w:pPr>
              <w:spacing w:after="0" w:line="240" w:lineRule="auto"/>
              <w:ind w:left="272"/>
              <w:rPr>
                <w:rFonts w:ascii="Arial" w:eastAsia="MS Mincho" w:hAnsi="Arial" w:cs="Arial"/>
              </w:rPr>
            </w:pPr>
            <w:r w:rsidRPr="00E74D22">
              <w:rPr>
                <w:rFonts w:ascii="Arial" w:eastAsia="MS Mincho" w:hAnsi="Arial" w:cs="Arial"/>
              </w:rPr>
              <w:t>Others (puskesmas, hospital, preschool, officer visits)</w:t>
            </w:r>
          </w:p>
        </w:tc>
        <w:tc>
          <w:tcPr>
            <w:tcW w:w="1838" w:type="dxa"/>
            <w:tcBorders>
              <w:top w:val="nil"/>
              <w:left w:val="nil"/>
              <w:bottom w:val="nil"/>
              <w:right w:val="nil"/>
            </w:tcBorders>
          </w:tcPr>
          <w:p w14:paraId="580F0E92"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13</w:t>
            </w:r>
          </w:p>
        </w:tc>
        <w:tc>
          <w:tcPr>
            <w:tcW w:w="1945" w:type="dxa"/>
            <w:tcBorders>
              <w:top w:val="nil"/>
              <w:left w:val="nil"/>
              <w:bottom w:val="nil"/>
              <w:right w:val="nil"/>
            </w:tcBorders>
          </w:tcPr>
          <w:p w14:paraId="09D21D72" w14:textId="77777777" w:rsidR="00E74D22" w:rsidRDefault="00E74D22" w:rsidP="00B10682">
            <w:pPr>
              <w:spacing w:after="0" w:line="240" w:lineRule="auto"/>
              <w:jc w:val="center"/>
              <w:rPr>
                <w:rFonts w:ascii="Arial" w:eastAsia="MS Mincho" w:hAnsi="Arial" w:cs="Arial"/>
              </w:rPr>
            </w:pPr>
            <w:r w:rsidRPr="00E74D22">
              <w:rPr>
                <w:rFonts w:ascii="Arial" w:eastAsia="MS Mincho" w:hAnsi="Arial" w:cs="Arial"/>
              </w:rPr>
              <w:t>3.6</w:t>
            </w:r>
          </w:p>
          <w:p w14:paraId="54AEDCF1" w14:textId="77777777" w:rsidR="001231CD" w:rsidRPr="00E74D22" w:rsidRDefault="001231CD" w:rsidP="00B10682">
            <w:pPr>
              <w:spacing w:after="0" w:line="240" w:lineRule="auto"/>
              <w:jc w:val="center"/>
              <w:rPr>
                <w:rFonts w:ascii="Arial" w:eastAsia="MS Mincho" w:hAnsi="Arial" w:cs="Arial"/>
              </w:rPr>
            </w:pPr>
          </w:p>
        </w:tc>
      </w:tr>
      <w:tr w:rsidR="00E74D22" w:rsidRPr="00081D4B" w14:paraId="46D9851D" w14:textId="77777777" w:rsidTr="00B10682">
        <w:trPr>
          <w:jc w:val="center"/>
        </w:trPr>
        <w:tc>
          <w:tcPr>
            <w:tcW w:w="5856" w:type="dxa"/>
            <w:tcBorders>
              <w:top w:val="nil"/>
              <w:left w:val="nil"/>
              <w:bottom w:val="nil"/>
              <w:right w:val="nil"/>
            </w:tcBorders>
          </w:tcPr>
          <w:p w14:paraId="7A7442ED"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lastRenderedPageBreak/>
              <w:t>Primary Immunization</w:t>
            </w:r>
          </w:p>
        </w:tc>
        <w:tc>
          <w:tcPr>
            <w:tcW w:w="1838" w:type="dxa"/>
            <w:tcBorders>
              <w:top w:val="nil"/>
              <w:left w:val="nil"/>
              <w:bottom w:val="nil"/>
              <w:right w:val="nil"/>
            </w:tcBorders>
          </w:tcPr>
          <w:p w14:paraId="593888A4"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68DECFDF" w14:textId="77777777" w:rsidR="00E74D22" w:rsidRPr="00E74D22" w:rsidRDefault="00E74D22" w:rsidP="00B10682">
            <w:pPr>
              <w:spacing w:after="0" w:line="240" w:lineRule="auto"/>
              <w:jc w:val="center"/>
              <w:rPr>
                <w:rFonts w:ascii="Arial" w:eastAsia="MS Mincho" w:hAnsi="Arial" w:cs="Arial"/>
              </w:rPr>
            </w:pPr>
          </w:p>
        </w:tc>
      </w:tr>
      <w:tr w:rsidR="00E74D22" w:rsidRPr="00081D4B" w14:paraId="648CC60F" w14:textId="77777777" w:rsidTr="00B10682">
        <w:trPr>
          <w:jc w:val="center"/>
        </w:trPr>
        <w:tc>
          <w:tcPr>
            <w:tcW w:w="5856" w:type="dxa"/>
            <w:tcBorders>
              <w:top w:val="nil"/>
              <w:left w:val="nil"/>
              <w:bottom w:val="nil"/>
              <w:right w:val="nil"/>
            </w:tcBorders>
          </w:tcPr>
          <w:p w14:paraId="21D480FB"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Incomplete</w:t>
            </w:r>
          </w:p>
        </w:tc>
        <w:tc>
          <w:tcPr>
            <w:tcW w:w="1838" w:type="dxa"/>
            <w:tcBorders>
              <w:top w:val="nil"/>
              <w:left w:val="nil"/>
              <w:bottom w:val="nil"/>
              <w:right w:val="nil"/>
            </w:tcBorders>
          </w:tcPr>
          <w:p w14:paraId="7064CFAF"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1.042</w:t>
            </w:r>
          </w:p>
        </w:tc>
        <w:tc>
          <w:tcPr>
            <w:tcW w:w="1945" w:type="dxa"/>
            <w:tcBorders>
              <w:top w:val="nil"/>
              <w:left w:val="nil"/>
              <w:bottom w:val="nil"/>
              <w:right w:val="nil"/>
            </w:tcBorders>
          </w:tcPr>
          <w:p w14:paraId="668056BF"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54</w:t>
            </w:r>
          </w:p>
        </w:tc>
      </w:tr>
      <w:tr w:rsidR="00E74D22" w:rsidRPr="00081D4B" w14:paraId="6994CE1C" w14:textId="77777777" w:rsidTr="00B10682">
        <w:trPr>
          <w:jc w:val="center"/>
        </w:trPr>
        <w:tc>
          <w:tcPr>
            <w:tcW w:w="5856" w:type="dxa"/>
            <w:tcBorders>
              <w:top w:val="nil"/>
              <w:left w:val="nil"/>
              <w:bottom w:val="nil"/>
              <w:right w:val="nil"/>
            </w:tcBorders>
          </w:tcPr>
          <w:p w14:paraId="07972424"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Complete</w:t>
            </w:r>
          </w:p>
        </w:tc>
        <w:tc>
          <w:tcPr>
            <w:tcW w:w="1838" w:type="dxa"/>
            <w:tcBorders>
              <w:top w:val="nil"/>
              <w:left w:val="nil"/>
              <w:bottom w:val="nil"/>
              <w:right w:val="nil"/>
            </w:tcBorders>
          </w:tcPr>
          <w:p w14:paraId="4C5221C4"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887</w:t>
            </w:r>
          </w:p>
        </w:tc>
        <w:tc>
          <w:tcPr>
            <w:tcW w:w="1945" w:type="dxa"/>
            <w:tcBorders>
              <w:top w:val="nil"/>
              <w:left w:val="nil"/>
              <w:bottom w:val="nil"/>
              <w:right w:val="nil"/>
            </w:tcBorders>
          </w:tcPr>
          <w:p w14:paraId="05E627E2"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46</w:t>
            </w:r>
          </w:p>
        </w:tc>
      </w:tr>
      <w:tr w:rsidR="00E74D22" w:rsidRPr="00081D4B" w14:paraId="7626AC05" w14:textId="77777777" w:rsidTr="00B10682">
        <w:trPr>
          <w:jc w:val="center"/>
        </w:trPr>
        <w:tc>
          <w:tcPr>
            <w:tcW w:w="5856" w:type="dxa"/>
            <w:tcBorders>
              <w:top w:val="nil"/>
              <w:left w:val="nil"/>
              <w:bottom w:val="nil"/>
              <w:right w:val="nil"/>
            </w:tcBorders>
          </w:tcPr>
          <w:p w14:paraId="0CB3ED2E"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Reason for Incomplete Immunization/No Immunization</w:t>
            </w:r>
          </w:p>
        </w:tc>
        <w:tc>
          <w:tcPr>
            <w:tcW w:w="1838" w:type="dxa"/>
            <w:tcBorders>
              <w:top w:val="nil"/>
              <w:left w:val="nil"/>
              <w:bottom w:val="nil"/>
              <w:right w:val="nil"/>
            </w:tcBorders>
          </w:tcPr>
          <w:p w14:paraId="6D9EAB7D"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7B25D9EF" w14:textId="77777777" w:rsidR="00E74D22" w:rsidRPr="00E74D22" w:rsidRDefault="00E74D22" w:rsidP="00B10682">
            <w:pPr>
              <w:spacing w:after="0" w:line="240" w:lineRule="auto"/>
              <w:jc w:val="center"/>
              <w:rPr>
                <w:rFonts w:ascii="Arial" w:eastAsia="MS Mincho" w:hAnsi="Arial" w:cs="Arial"/>
              </w:rPr>
            </w:pPr>
          </w:p>
        </w:tc>
      </w:tr>
      <w:tr w:rsidR="00E74D22" w:rsidRPr="00081D4B" w14:paraId="12E4B307" w14:textId="77777777" w:rsidTr="00B10682">
        <w:trPr>
          <w:jc w:val="center"/>
        </w:trPr>
        <w:tc>
          <w:tcPr>
            <w:tcW w:w="5856" w:type="dxa"/>
            <w:tcBorders>
              <w:top w:val="nil"/>
              <w:left w:val="nil"/>
              <w:bottom w:val="nil"/>
              <w:right w:val="nil"/>
            </w:tcBorders>
          </w:tcPr>
          <w:p w14:paraId="44A221F2"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Forget/not knowing the schedule</w:t>
            </w:r>
          </w:p>
        </w:tc>
        <w:tc>
          <w:tcPr>
            <w:tcW w:w="1838" w:type="dxa"/>
            <w:tcBorders>
              <w:top w:val="nil"/>
              <w:left w:val="nil"/>
              <w:bottom w:val="nil"/>
              <w:right w:val="nil"/>
            </w:tcBorders>
          </w:tcPr>
          <w:p w14:paraId="1AFD0A92"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125</w:t>
            </w:r>
          </w:p>
        </w:tc>
        <w:tc>
          <w:tcPr>
            <w:tcW w:w="1945" w:type="dxa"/>
            <w:tcBorders>
              <w:top w:val="nil"/>
              <w:left w:val="nil"/>
              <w:bottom w:val="nil"/>
              <w:right w:val="nil"/>
            </w:tcBorders>
          </w:tcPr>
          <w:p w14:paraId="788B4BB7"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14.1</w:t>
            </w:r>
          </w:p>
        </w:tc>
      </w:tr>
      <w:tr w:rsidR="00E74D22" w:rsidRPr="00081D4B" w14:paraId="5056A3EF" w14:textId="77777777" w:rsidTr="00B10682">
        <w:trPr>
          <w:jc w:val="center"/>
        </w:trPr>
        <w:tc>
          <w:tcPr>
            <w:tcW w:w="5856" w:type="dxa"/>
            <w:tcBorders>
              <w:top w:val="nil"/>
              <w:left w:val="nil"/>
              <w:bottom w:val="nil"/>
              <w:right w:val="nil"/>
            </w:tcBorders>
          </w:tcPr>
          <w:p w14:paraId="6AB4DDA5" w14:textId="77777777" w:rsidR="00E74D22" w:rsidRPr="00E74D22" w:rsidRDefault="00E74D22" w:rsidP="00B10682">
            <w:pPr>
              <w:spacing w:after="0" w:line="240" w:lineRule="auto"/>
              <w:ind w:firstLine="272"/>
              <w:rPr>
                <w:rFonts w:ascii="Arial" w:hAnsi="Arial" w:cs="Arial"/>
              </w:rPr>
            </w:pPr>
            <w:r w:rsidRPr="00E74D22">
              <w:rPr>
                <w:rFonts w:ascii="Arial" w:hAnsi="Arial" w:cs="Arial"/>
              </w:rPr>
              <w:t>Don't know Posyandu schedule</w:t>
            </w:r>
          </w:p>
        </w:tc>
        <w:tc>
          <w:tcPr>
            <w:tcW w:w="1838" w:type="dxa"/>
            <w:tcBorders>
              <w:top w:val="nil"/>
              <w:left w:val="nil"/>
              <w:bottom w:val="nil"/>
              <w:right w:val="nil"/>
            </w:tcBorders>
          </w:tcPr>
          <w:p w14:paraId="37A7F56F"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21</w:t>
            </w:r>
          </w:p>
        </w:tc>
        <w:tc>
          <w:tcPr>
            <w:tcW w:w="1945" w:type="dxa"/>
            <w:tcBorders>
              <w:top w:val="nil"/>
              <w:left w:val="nil"/>
              <w:bottom w:val="nil"/>
              <w:right w:val="nil"/>
            </w:tcBorders>
          </w:tcPr>
          <w:p w14:paraId="417F6BC8"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2.4</w:t>
            </w:r>
          </w:p>
        </w:tc>
      </w:tr>
      <w:tr w:rsidR="00E74D22" w:rsidRPr="00081D4B" w14:paraId="402D0A98" w14:textId="77777777" w:rsidTr="00B10682">
        <w:trPr>
          <w:jc w:val="center"/>
        </w:trPr>
        <w:tc>
          <w:tcPr>
            <w:tcW w:w="5856" w:type="dxa"/>
            <w:tcBorders>
              <w:top w:val="nil"/>
              <w:left w:val="nil"/>
              <w:bottom w:val="nil"/>
              <w:right w:val="nil"/>
            </w:tcBorders>
          </w:tcPr>
          <w:p w14:paraId="26DBDE38" w14:textId="77777777" w:rsidR="00E74D22" w:rsidRPr="00E74D22" w:rsidRDefault="00E74D22" w:rsidP="00B10682">
            <w:pPr>
              <w:spacing w:after="0" w:line="240" w:lineRule="auto"/>
              <w:ind w:firstLine="272"/>
              <w:rPr>
                <w:rFonts w:ascii="Arial" w:hAnsi="Arial" w:cs="Arial"/>
              </w:rPr>
            </w:pPr>
            <w:r w:rsidRPr="00E74D22">
              <w:rPr>
                <w:rFonts w:ascii="Arial" w:hAnsi="Arial" w:cs="Arial"/>
              </w:rPr>
              <w:t>Health facility far away</w:t>
            </w:r>
          </w:p>
        </w:tc>
        <w:tc>
          <w:tcPr>
            <w:tcW w:w="1838" w:type="dxa"/>
            <w:tcBorders>
              <w:top w:val="nil"/>
              <w:left w:val="nil"/>
              <w:bottom w:val="nil"/>
              <w:right w:val="nil"/>
            </w:tcBorders>
          </w:tcPr>
          <w:p w14:paraId="5BE8CE61"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11</w:t>
            </w:r>
          </w:p>
        </w:tc>
        <w:tc>
          <w:tcPr>
            <w:tcW w:w="1945" w:type="dxa"/>
            <w:tcBorders>
              <w:top w:val="nil"/>
              <w:left w:val="nil"/>
              <w:bottom w:val="nil"/>
              <w:right w:val="nil"/>
            </w:tcBorders>
          </w:tcPr>
          <w:p w14:paraId="0D423662"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1.2</w:t>
            </w:r>
          </w:p>
        </w:tc>
      </w:tr>
      <w:tr w:rsidR="00E74D22" w:rsidRPr="00081D4B" w14:paraId="76CC13E3" w14:textId="77777777" w:rsidTr="00B10682">
        <w:trPr>
          <w:jc w:val="center"/>
        </w:trPr>
        <w:tc>
          <w:tcPr>
            <w:tcW w:w="5856" w:type="dxa"/>
            <w:tcBorders>
              <w:top w:val="nil"/>
              <w:left w:val="nil"/>
              <w:bottom w:val="nil"/>
              <w:right w:val="nil"/>
            </w:tcBorders>
          </w:tcPr>
          <w:p w14:paraId="1AFC3D84" w14:textId="77777777" w:rsidR="00E74D22" w:rsidRPr="00E74D22" w:rsidRDefault="00E74D22" w:rsidP="00B10682">
            <w:pPr>
              <w:spacing w:after="0" w:line="240" w:lineRule="auto"/>
              <w:ind w:firstLine="272"/>
              <w:rPr>
                <w:rFonts w:ascii="Arial" w:hAnsi="Arial" w:cs="Arial"/>
              </w:rPr>
            </w:pPr>
            <w:r w:rsidRPr="00E74D22">
              <w:rPr>
                <w:rFonts w:ascii="Arial" w:hAnsi="Arial" w:cs="Arial"/>
              </w:rPr>
              <w:t>Transportation difficult</w:t>
            </w:r>
          </w:p>
        </w:tc>
        <w:tc>
          <w:tcPr>
            <w:tcW w:w="1838" w:type="dxa"/>
            <w:tcBorders>
              <w:top w:val="nil"/>
              <w:left w:val="nil"/>
              <w:bottom w:val="nil"/>
              <w:right w:val="nil"/>
            </w:tcBorders>
          </w:tcPr>
          <w:p w14:paraId="59D0B1B1"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13</w:t>
            </w:r>
          </w:p>
        </w:tc>
        <w:tc>
          <w:tcPr>
            <w:tcW w:w="1945" w:type="dxa"/>
            <w:tcBorders>
              <w:top w:val="nil"/>
              <w:left w:val="nil"/>
              <w:bottom w:val="nil"/>
              <w:right w:val="nil"/>
            </w:tcBorders>
          </w:tcPr>
          <w:p w14:paraId="363DAABE"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1.5</w:t>
            </w:r>
          </w:p>
        </w:tc>
      </w:tr>
      <w:tr w:rsidR="00E74D22" w:rsidRPr="00081D4B" w14:paraId="1391BC38" w14:textId="77777777" w:rsidTr="00B10682">
        <w:trPr>
          <w:jc w:val="center"/>
        </w:trPr>
        <w:tc>
          <w:tcPr>
            <w:tcW w:w="5856" w:type="dxa"/>
            <w:tcBorders>
              <w:top w:val="nil"/>
              <w:left w:val="nil"/>
              <w:bottom w:val="nil"/>
              <w:right w:val="nil"/>
            </w:tcBorders>
          </w:tcPr>
          <w:p w14:paraId="0E23D5A4"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Child is often get sick/is currently sick</w:t>
            </w:r>
          </w:p>
        </w:tc>
        <w:tc>
          <w:tcPr>
            <w:tcW w:w="1838" w:type="dxa"/>
            <w:tcBorders>
              <w:top w:val="nil"/>
              <w:left w:val="nil"/>
              <w:bottom w:val="nil"/>
              <w:right w:val="nil"/>
            </w:tcBorders>
          </w:tcPr>
          <w:p w14:paraId="0FC7B6E5"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148</w:t>
            </w:r>
          </w:p>
        </w:tc>
        <w:tc>
          <w:tcPr>
            <w:tcW w:w="1945" w:type="dxa"/>
            <w:tcBorders>
              <w:top w:val="nil"/>
              <w:left w:val="nil"/>
              <w:bottom w:val="nil"/>
              <w:right w:val="nil"/>
            </w:tcBorders>
          </w:tcPr>
          <w:p w14:paraId="7BC01926"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1.7</w:t>
            </w:r>
          </w:p>
        </w:tc>
      </w:tr>
      <w:tr w:rsidR="00E74D22" w:rsidRPr="00081D4B" w14:paraId="1B7CC067" w14:textId="77777777" w:rsidTr="00B10682">
        <w:trPr>
          <w:jc w:val="center"/>
        </w:trPr>
        <w:tc>
          <w:tcPr>
            <w:tcW w:w="5856" w:type="dxa"/>
            <w:tcBorders>
              <w:top w:val="nil"/>
              <w:left w:val="nil"/>
              <w:bottom w:val="nil"/>
              <w:right w:val="nil"/>
            </w:tcBorders>
          </w:tcPr>
          <w:p w14:paraId="58EE7C18"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Vaccine not available</w:t>
            </w:r>
          </w:p>
        </w:tc>
        <w:tc>
          <w:tcPr>
            <w:tcW w:w="1838" w:type="dxa"/>
            <w:tcBorders>
              <w:top w:val="nil"/>
              <w:left w:val="nil"/>
              <w:bottom w:val="nil"/>
              <w:right w:val="nil"/>
            </w:tcBorders>
          </w:tcPr>
          <w:p w14:paraId="501B970F"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160</w:t>
            </w:r>
          </w:p>
        </w:tc>
        <w:tc>
          <w:tcPr>
            <w:tcW w:w="1945" w:type="dxa"/>
            <w:tcBorders>
              <w:top w:val="nil"/>
              <w:left w:val="nil"/>
              <w:bottom w:val="nil"/>
              <w:right w:val="nil"/>
            </w:tcBorders>
          </w:tcPr>
          <w:p w14:paraId="4D7EFB55"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18</w:t>
            </w:r>
          </w:p>
        </w:tc>
      </w:tr>
      <w:tr w:rsidR="00E74D22" w:rsidRPr="00081D4B" w14:paraId="412306B8" w14:textId="77777777" w:rsidTr="00B10682">
        <w:trPr>
          <w:jc w:val="center"/>
        </w:trPr>
        <w:tc>
          <w:tcPr>
            <w:tcW w:w="5856" w:type="dxa"/>
            <w:tcBorders>
              <w:top w:val="nil"/>
              <w:left w:val="nil"/>
              <w:bottom w:val="nil"/>
              <w:right w:val="nil"/>
            </w:tcBorders>
          </w:tcPr>
          <w:p w14:paraId="1BEDDEB3"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Not yet time for immunization</w:t>
            </w:r>
          </w:p>
        </w:tc>
        <w:tc>
          <w:tcPr>
            <w:tcW w:w="1838" w:type="dxa"/>
            <w:tcBorders>
              <w:top w:val="nil"/>
              <w:left w:val="nil"/>
              <w:bottom w:val="nil"/>
              <w:right w:val="nil"/>
            </w:tcBorders>
          </w:tcPr>
          <w:p w14:paraId="0F85441C"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435</w:t>
            </w:r>
          </w:p>
        </w:tc>
        <w:tc>
          <w:tcPr>
            <w:tcW w:w="1945" w:type="dxa"/>
            <w:tcBorders>
              <w:top w:val="nil"/>
              <w:left w:val="nil"/>
              <w:bottom w:val="nil"/>
              <w:right w:val="nil"/>
            </w:tcBorders>
          </w:tcPr>
          <w:p w14:paraId="069299CD"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49</w:t>
            </w:r>
          </w:p>
        </w:tc>
      </w:tr>
      <w:tr w:rsidR="00E74D22" w:rsidRPr="00081D4B" w14:paraId="41906150" w14:textId="77777777" w:rsidTr="00B10682">
        <w:trPr>
          <w:jc w:val="center"/>
        </w:trPr>
        <w:tc>
          <w:tcPr>
            <w:tcW w:w="5856" w:type="dxa"/>
            <w:tcBorders>
              <w:top w:val="nil"/>
              <w:left w:val="nil"/>
              <w:bottom w:val="nil"/>
              <w:right w:val="nil"/>
            </w:tcBorders>
          </w:tcPr>
          <w:p w14:paraId="77C591FD" w14:textId="77777777" w:rsidR="00E74D22" w:rsidRPr="00E74D22" w:rsidRDefault="00E74D22" w:rsidP="00B10682">
            <w:pPr>
              <w:spacing w:after="0" w:line="240" w:lineRule="auto"/>
              <w:ind w:left="272"/>
              <w:rPr>
                <w:rFonts w:ascii="Arial" w:eastAsia="MS Mincho" w:hAnsi="Arial" w:cs="Arial"/>
              </w:rPr>
            </w:pPr>
            <w:r w:rsidRPr="00E74D22">
              <w:rPr>
                <w:rFonts w:ascii="Arial" w:hAnsi="Arial" w:cs="Arial"/>
              </w:rPr>
              <w:t>Others (Posyandu closed, family not allowed etc.)</w:t>
            </w:r>
          </w:p>
        </w:tc>
        <w:tc>
          <w:tcPr>
            <w:tcW w:w="1838" w:type="dxa"/>
            <w:tcBorders>
              <w:top w:val="nil"/>
              <w:left w:val="nil"/>
              <w:bottom w:val="nil"/>
              <w:right w:val="nil"/>
            </w:tcBorders>
          </w:tcPr>
          <w:p w14:paraId="717E8C3F"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26</w:t>
            </w:r>
          </w:p>
        </w:tc>
        <w:tc>
          <w:tcPr>
            <w:tcW w:w="1945" w:type="dxa"/>
            <w:tcBorders>
              <w:top w:val="nil"/>
              <w:left w:val="nil"/>
              <w:bottom w:val="nil"/>
              <w:right w:val="nil"/>
            </w:tcBorders>
          </w:tcPr>
          <w:p w14:paraId="1ED7381D"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2.9</w:t>
            </w:r>
          </w:p>
        </w:tc>
      </w:tr>
      <w:tr w:rsidR="00E74D22" w:rsidRPr="00081D4B" w14:paraId="1AB4E0DE" w14:textId="77777777" w:rsidTr="00B10682">
        <w:trPr>
          <w:jc w:val="center"/>
        </w:trPr>
        <w:tc>
          <w:tcPr>
            <w:tcW w:w="5856" w:type="dxa"/>
            <w:tcBorders>
              <w:top w:val="nil"/>
              <w:left w:val="nil"/>
              <w:bottom w:val="nil"/>
              <w:right w:val="nil"/>
            </w:tcBorders>
          </w:tcPr>
          <w:p w14:paraId="5AF21D6B"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Access to Drinking Water</w:t>
            </w:r>
          </w:p>
        </w:tc>
        <w:tc>
          <w:tcPr>
            <w:tcW w:w="1838" w:type="dxa"/>
            <w:tcBorders>
              <w:top w:val="nil"/>
              <w:left w:val="nil"/>
              <w:bottom w:val="nil"/>
              <w:right w:val="nil"/>
            </w:tcBorders>
          </w:tcPr>
          <w:p w14:paraId="155F662B"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07DF405D" w14:textId="77777777" w:rsidR="00E74D22" w:rsidRPr="00E74D22" w:rsidRDefault="00E74D22" w:rsidP="00B10682">
            <w:pPr>
              <w:spacing w:after="0" w:line="240" w:lineRule="auto"/>
              <w:jc w:val="center"/>
              <w:rPr>
                <w:rFonts w:ascii="Arial" w:eastAsia="MS Mincho" w:hAnsi="Arial" w:cs="Arial"/>
              </w:rPr>
            </w:pPr>
          </w:p>
        </w:tc>
      </w:tr>
      <w:tr w:rsidR="00E74D22" w:rsidRPr="00081D4B" w14:paraId="3336E197" w14:textId="77777777" w:rsidTr="00B10682">
        <w:trPr>
          <w:jc w:val="center"/>
        </w:trPr>
        <w:tc>
          <w:tcPr>
            <w:tcW w:w="5856" w:type="dxa"/>
            <w:tcBorders>
              <w:top w:val="nil"/>
              <w:left w:val="nil"/>
              <w:bottom w:val="nil"/>
              <w:right w:val="nil"/>
            </w:tcBorders>
          </w:tcPr>
          <w:p w14:paraId="28235727"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Not feasible</w:t>
            </w:r>
          </w:p>
        </w:tc>
        <w:tc>
          <w:tcPr>
            <w:tcW w:w="1838" w:type="dxa"/>
            <w:tcBorders>
              <w:top w:val="nil"/>
              <w:left w:val="nil"/>
              <w:bottom w:val="nil"/>
              <w:right w:val="nil"/>
            </w:tcBorders>
          </w:tcPr>
          <w:p w14:paraId="6ED336FA"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514</w:t>
            </w:r>
          </w:p>
        </w:tc>
        <w:tc>
          <w:tcPr>
            <w:tcW w:w="1945" w:type="dxa"/>
            <w:tcBorders>
              <w:top w:val="nil"/>
              <w:left w:val="nil"/>
              <w:bottom w:val="nil"/>
              <w:right w:val="nil"/>
            </w:tcBorders>
          </w:tcPr>
          <w:p w14:paraId="37F0FD6C"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26.6</w:t>
            </w:r>
          </w:p>
        </w:tc>
      </w:tr>
      <w:tr w:rsidR="00E74D22" w:rsidRPr="00081D4B" w14:paraId="6D3C8007" w14:textId="77777777" w:rsidTr="00B10682">
        <w:trPr>
          <w:jc w:val="center"/>
        </w:trPr>
        <w:tc>
          <w:tcPr>
            <w:tcW w:w="5856" w:type="dxa"/>
            <w:tcBorders>
              <w:top w:val="nil"/>
              <w:left w:val="nil"/>
              <w:bottom w:val="nil"/>
              <w:right w:val="nil"/>
            </w:tcBorders>
          </w:tcPr>
          <w:p w14:paraId="5B793106"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Feasible</w:t>
            </w:r>
          </w:p>
        </w:tc>
        <w:tc>
          <w:tcPr>
            <w:tcW w:w="1838" w:type="dxa"/>
            <w:tcBorders>
              <w:top w:val="nil"/>
              <w:left w:val="nil"/>
              <w:bottom w:val="nil"/>
              <w:right w:val="nil"/>
            </w:tcBorders>
          </w:tcPr>
          <w:p w14:paraId="535AA4D8"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1.415</w:t>
            </w:r>
          </w:p>
        </w:tc>
        <w:tc>
          <w:tcPr>
            <w:tcW w:w="1945" w:type="dxa"/>
            <w:tcBorders>
              <w:top w:val="nil"/>
              <w:left w:val="nil"/>
              <w:bottom w:val="nil"/>
              <w:right w:val="nil"/>
            </w:tcBorders>
          </w:tcPr>
          <w:p w14:paraId="5772E15D"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73.4</w:t>
            </w:r>
          </w:p>
        </w:tc>
      </w:tr>
      <w:tr w:rsidR="00E74D22" w:rsidRPr="00081D4B" w14:paraId="622B62C8" w14:textId="77777777" w:rsidTr="00B10682">
        <w:trPr>
          <w:jc w:val="center"/>
        </w:trPr>
        <w:tc>
          <w:tcPr>
            <w:tcW w:w="5856" w:type="dxa"/>
            <w:tcBorders>
              <w:top w:val="nil"/>
              <w:left w:val="nil"/>
              <w:bottom w:val="nil"/>
              <w:right w:val="nil"/>
            </w:tcBorders>
          </w:tcPr>
          <w:p w14:paraId="4508852D"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 xml:space="preserve">Drinking Water Source </w:t>
            </w:r>
          </w:p>
        </w:tc>
        <w:tc>
          <w:tcPr>
            <w:tcW w:w="1838" w:type="dxa"/>
            <w:tcBorders>
              <w:top w:val="nil"/>
              <w:left w:val="nil"/>
              <w:bottom w:val="nil"/>
              <w:right w:val="nil"/>
            </w:tcBorders>
          </w:tcPr>
          <w:p w14:paraId="72E9FA44"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15330AA0" w14:textId="77777777" w:rsidR="00E74D22" w:rsidRPr="00E74D22" w:rsidRDefault="00E74D22" w:rsidP="00B10682">
            <w:pPr>
              <w:spacing w:after="0" w:line="240" w:lineRule="auto"/>
              <w:jc w:val="center"/>
              <w:rPr>
                <w:rFonts w:ascii="Arial" w:eastAsia="MS Mincho" w:hAnsi="Arial" w:cs="Arial"/>
              </w:rPr>
            </w:pPr>
          </w:p>
        </w:tc>
      </w:tr>
      <w:tr w:rsidR="00E74D22" w:rsidRPr="00081D4B" w14:paraId="03CE9FE4" w14:textId="77777777" w:rsidTr="00B10682">
        <w:trPr>
          <w:jc w:val="center"/>
        </w:trPr>
        <w:tc>
          <w:tcPr>
            <w:tcW w:w="5856" w:type="dxa"/>
            <w:tcBorders>
              <w:top w:val="nil"/>
              <w:left w:val="nil"/>
              <w:bottom w:val="nil"/>
              <w:right w:val="nil"/>
            </w:tcBorders>
          </w:tcPr>
          <w:p w14:paraId="35797783"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Bottled Water</w:t>
            </w:r>
          </w:p>
        </w:tc>
        <w:tc>
          <w:tcPr>
            <w:tcW w:w="1838" w:type="dxa"/>
            <w:tcBorders>
              <w:top w:val="nil"/>
              <w:left w:val="nil"/>
              <w:bottom w:val="nil"/>
              <w:right w:val="nil"/>
            </w:tcBorders>
          </w:tcPr>
          <w:p w14:paraId="0FEAA2CD"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 xml:space="preserve">272 </w:t>
            </w:r>
          </w:p>
        </w:tc>
        <w:tc>
          <w:tcPr>
            <w:tcW w:w="1945" w:type="dxa"/>
            <w:tcBorders>
              <w:top w:val="nil"/>
              <w:left w:val="nil"/>
              <w:bottom w:val="nil"/>
              <w:right w:val="nil"/>
            </w:tcBorders>
          </w:tcPr>
          <w:p w14:paraId="37744D84"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14.1</w:t>
            </w:r>
          </w:p>
        </w:tc>
      </w:tr>
      <w:tr w:rsidR="00E74D22" w:rsidRPr="00081D4B" w14:paraId="65E19085" w14:textId="77777777" w:rsidTr="00B10682">
        <w:trPr>
          <w:jc w:val="center"/>
        </w:trPr>
        <w:tc>
          <w:tcPr>
            <w:tcW w:w="5856" w:type="dxa"/>
            <w:tcBorders>
              <w:top w:val="nil"/>
              <w:left w:val="nil"/>
              <w:bottom w:val="nil"/>
              <w:right w:val="nil"/>
            </w:tcBorders>
          </w:tcPr>
          <w:p w14:paraId="28D8A6A0"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Refillable water</w:t>
            </w:r>
          </w:p>
        </w:tc>
        <w:tc>
          <w:tcPr>
            <w:tcW w:w="1838" w:type="dxa"/>
            <w:tcBorders>
              <w:top w:val="nil"/>
              <w:left w:val="nil"/>
              <w:bottom w:val="nil"/>
              <w:right w:val="nil"/>
            </w:tcBorders>
          </w:tcPr>
          <w:p w14:paraId="1A7D15D4"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286</w:t>
            </w:r>
          </w:p>
        </w:tc>
        <w:tc>
          <w:tcPr>
            <w:tcW w:w="1945" w:type="dxa"/>
            <w:tcBorders>
              <w:top w:val="nil"/>
              <w:left w:val="nil"/>
              <w:bottom w:val="nil"/>
              <w:right w:val="nil"/>
            </w:tcBorders>
          </w:tcPr>
          <w:p w14:paraId="4BBB275A"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14.8</w:t>
            </w:r>
          </w:p>
        </w:tc>
      </w:tr>
      <w:tr w:rsidR="00E74D22" w:rsidRPr="00081D4B" w14:paraId="03D57059" w14:textId="77777777" w:rsidTr="00B10682">
        <w:trPr>
          <w:jc w:val="center"/>
        </w:trPr>
        <w:tc>
          <w:tcPr>
            <w:tcW w:w="5856" w:type="dxa"/>
            <w:tcBorders>
              <w:top w:val="nil"/>
              <w:left w:val="nil"/>
              <w:bottom w:val="nil"/>
              <w:right w:val="nil"/>
            </w:tcBorders>
          </w:tcPr>
          <w:p w14:paraId="19721C94"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Protected dug well</w:t>
            </w:r>
          </w:p>
        </w:tc>
        <w:tc>
          <w:tcPr>
            <w:tcW w:w="1838" w:type="dxa"/>
            <w:tcBorders>
              <w:top w:val="nil"/>
              <w:left w:val="nil"/>
              <w:bottom w:val="nil"/>
              <w:right w:val="nil"/>
            </w:tcBorders>
          </w:tcPr>
          <w:p w14:paraId="49BF2093"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732</w:t>
            </w:r>
          </w:p>
        </w:tc>
        <w:tc>
          <w:tcPr>
            <w:tcW w:w="1945" w:type="dxa"/>
            <w:tcBorders>
              <w:top w:val="nil"/>
              <w:left w:val="nil"/>
              <w:bottom w:val="nil"/>
              <w:right w:val="nil"/>
            </w:tcBorders>
          </w:tcPr>
          <w:p w14:paraId="445173D4"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37.9</w:t>
            </w:r>
          </w:p>
        </w:tc>
      </w:tr>
      <w:tr w:rsidR="00E74D22" w:rsidRPr="00081D4B" w14:paraId="6E5D5B26" w14:textId="77777777" w:rsidTr="00B10682">
        <w:trPr>
          <w:jc w:val="center"/>
        </w:trPr>
        <w:tc>
          <w:tcPr>
            <w:tcW w:w="5856" w:type="dxa"/>
            <w:tcBorders>
              <w:top w:val="nil"/>
              <w:left w:val="nil"/>
              <w:bottom w:val="nil"/>
              <w:right w:val="nil"/>
            </w:tcBorders>
          </w:tcPr>
          <w:p w14:paraId="2E43C220"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Borehole well</w:t>
            </w:r>
          </w:p>
        </w:tc>
        <w:tc>
          <w:tcPr>
            <w:tcW w:w="1838" w:type="dxa"/>
            <w:tcBorders>
              <w:top w:val="nil"/>
              <w:left w:val="nil"/>
              <w:bottom w:val="nil"/>
              <w:right w:val="nil"/>
            </w:tcBorders>
          </w:tcPr>
          <w:p w14:paraId="787B1D83"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228</w:t>
            </w:r>
          </w:p>
        </w:tc>
        <w:tc>
          <w:tcPr>
            <w:tcW w:w="1945" w:type="dxa"/>
            <w:tcBorders>
              <w:top w:val="nil"/>
              <w:left w:val="nil"/>
              <w:bottom w:val="nil"/>
              <w:right w:val="nil"/>
            </w:tcBorders>
          </w:tcPr>
          <w:p w14:paraId="26282D44"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11.8</w:t>
            </w:r>
          </w:p>
        </w:tc>
      </w:tr>
      <w:tr w:rsidR="00E74D22" w:rsidRPr="00081D4B" w14:paraId="02AE1AA3" w14:textId="77777777" w:rsidTr="00B10682">
        <w:trPr>
          <w:jc w:val="center"/>
        </w:trPr>
        <w:tc>
          <w:tcPr>
            <w:tcW w:w="5856" w:type="dxa"/>
            <w:tcBorders>
              <w:top w:val="nil"/>
              <w:left w:val="nil"/>
              <w:bottom w:val="nil"/>
              <w:right w:val="nil"/>
            </w:tcBorders>
          </w:tcPr>
          <w:p w14:paraId="0E7EABA8"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PDAM</w:t>
            </w:r>
          </w:p>
        </w:tc>
        <w:tc>
          <w:tcPr>
            <w:tcW w:w="1838" w:type="dxa"/>
            <w:tcBorders>
              <w:top w:val="nil"/>
              <w:left w:val="nil"/>
              <w:bottom w:val="nil"/>
              <w:right w:val="nil"/>
            </w:tcBorders>
          </w:tcPr>
          <w:p w14:paraId="2C8C0068"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112</w:t>
            </w:r>
          </w:p>
        </w:tc>
        <w:tc>
          <w:tcPr>
            <w:tcW w:w="1945" w:type="dxa"/>
            <w:tcBorders>
              <w:top w:val="nil"/>
              <w:left w:val="nil"/>
              <w:bottom w:val="nil"/>
              <w:right w:val="nil"/>
            </w:tcBorders>
          </w:tcPr>
          <w:p w14:paraId="11F86E5A"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5.8</w:t>
            </w:r>
          </w:p>
        </w:tc>
      </w:tr>
      <w:tr w:rsidR="00E74D22" w:rsidRPr="00081D4B" w14:paraId="640E1617" w14:textId="77777777" w:rsidTr="00B10682">
        <w:trPr>
          <w:jc w:val="center"/>
        </w:trPr>
        <w:tc>
          <w:tcPr>
            <w:tcW w:w="5856" w:type="dxa"/>
            <w:tcBorders>
              <w:top w:val="nil"/>
              <w:left w:val="nil"/>
              <w:bottom w:val="nil"/>
              <w:right w:val="nil"/>
            </w:tcBorders>
          </w:tcPr>
          <w:p w14:paraId="6C408B92" w14:textId="77777777" w:rsidR="00E74D22" w:rsidRPr="00E74D22" w:rsidRDefault="00E74D22" w:rsidP="00B10682">
            <w:pPr>
              <w:spacing w:after="0" w:line="240" w:lineRule="auto"/>
              <w:ind w:firstLine="272"/>
              <w:rPr>
                <w:rFonts w:ascii="Arial" w:eastAsia="MS Mincho" w:hAnsi="Arial" w:cs="Arial"/>
              </w:rPr>
            </w:pPr>
            <w:r w:rsidRPr="00E74D22">
              <w:rPr>
                <w:rFonts w:ascii="Arial" w:hAnsi="Arial" w:cs="Arial"/>
              </w:rPr>
              <w:t>Public hydrants, water terminals, PAH, retail, surface water, etc.</w:t>
            </w:r>
          </w:p>
        </w:tc>
        <w:tc>
          <w:tcPr>
            <w:tcW w:w="1838" w:type="dxa"/>
            <w:tcBorders>
              <w:top w:val="nil"/>
              <w:left w:val="nil"/>
              <w:bottom w:val="nil"/>
              <w:right w:val="nil"/>
            </w:tcBorders>
          </w:tcPr>
          <w:p w14:paraId="03374E44"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299</w:t>
            </w:r>
          </w:p>
        </w:tc>
        <w:tc>
          <w:tcPr>
            <w:tcW w:w="1945" w:type="dxa"/>
            <w:tcBorders>
              <w:top w:val="nil"/>
              <w:left w:val="nil"/>
              <w:bottom w:val="nil"/>
              <w:right w:val="nil"/>
            </w:tcBorders>
          </w:tcPr>
          <w:p w14:paraId="7BC2323C"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15.6</w:t>
            </w:r>
          </w:p>
        </w:tc>
      </w:tr>
      <w:tr w:rsidR="00E74D22" w:rsidRPr="00081D4B" w14:paraId="49A263F6" w14:textId="77777777" w:rsidTr="00B10682">
        <w:trPr>
          <w:jc w:val="center"/>
        </w:trPr>
        <w:tc>
          <w:tcPr>
            <w:tcW w:w="5856" w:type="dxa"/>
            <w:tcBorders>
              <w:top w:val="nil"/>
              <w:left w:val="nil"/>
              <w:bottom w:val="nil"/>
              <w:right w:val="nil"/>
            </w:tcBorders>
          </w:tcPr>
          <w:p w14:paraId="0B726FAA" w14:textId="77777777" w:rsidR="00E74D22" w:rsidRPr="00E74D22" w:rsidRDefault="00E74D22" w:rsidP="00B10682">
            <w:pPr>
              <w:spacing w:after="0" w:line="240" w:lineRule="auto"/>
              <w:rPr>
                <w:rFonts w:ascii="Arial" w:eastAsia="MS Mincho" w:hAnsi="Arial" w:cs="Arial"/>
              </w:rPr>
            </w:pPr>
            <w:r w:rsidRPr="00E74D22">
              <w:rPr>
                <w:rFonts w:ascii="Arial" w:eastAsia="MS Mincho" w:hAnsi="Arial" w:cs="Arial"/>
              </w:rPr>
              <w:t>Access to Sanitation</w:t>
            </w:r>
          </w:p>
        </w:tc>
        <w:tc>
          <w:tcPr>
            <w:tcW w:w="1838" w:type="dxa"/>
            <w:tcBorders>
              <w:top w:val="nil"/>
              <w:left w:val="nil"/>
              <w:bottom w:val="nil"/>
              <w:right w:val="nil"/>
            </w:tcBorders>
          </w:tcPr>
          <w:p w14:paraId="4032712C" w14:textId="77777777" w:rsidR="00E74D22" w:rsidRPr="00E74D22" w:rsidRDefault="00E74D22" w:rsidP="00B10682">
            <w:pPr>
              <w:spacing w:after="0" w:line="240" w:lineRule="auto"/>
              <w:jc w:val="center"/>
              <w:rPr>
                <w:rFonts w:ascii="Arial" w:eastAsia="MS Mincho" w:hAnsi="Arial" w:cs="Arial"/>
              </w:rPr>
            </w:pPr>
          </w:p>
        </w:tc>
        <w:tc>
          <w:tcPr>
            <w:tcW w:w="1945" w:type="dxa"/>
            <w:tcBorders>
              <w:top w:val="nil"/>
              <w:left w:val="nil"/>
              <w:bottom w:val="nil"/>
              <w:right w:val="nil"/>
            </w:tcBorders>
          </w:tcPr>
          <w:p w14:paraId="6A2C8976" w14:textId="77777777" w:rsidR="00E74D22" w:rsidRPr="00E74D22" w:rsidRDefault="00E74D22" w:rsidP="00B10682">
            <w:pPr>
              <w:spacing w:after="0" w:line="240" w:lineRule="auto"/>
              <w:jc w:val="center"/>
              <w:rPr>
                <w:rFonts w:ascii="Arial" w:eastAsia="MS Mincho" w:hAnsi="Arial" w:cs="Arial"/>
              </w:rPr>
            </w:pPr>
          </w:p>
        </w:tc>
      </w:tr>
      <w:tr w:rsidR="00E74D22" w:rsidRPr="00081D4B" w14:paraId="44D92EE0" w14:textId="77777777" w:rsidTr="00B10682">
        <w:trPr>
          <w:jc w:val="center"/>
        </w:trPr>
        <w:tc>
          <w:tcPr>
            <w:tcW w:w="5856" w:type="dxa"/>
            <w:tcBorders>
              <w:top w:val="nil"/>
              <w:left w:val="nil"/>
              <w:bottom w:val="nil"/>
              <w:right w:val="nil"/>
            </w:tcBorders>
          </w:tcPr>
          <w:p w14:paraId="75E1A403"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Not feasible</w:t>
            </w:r>
          </w:p>
        </w:tc>
        <w:tc>
          <w:tcPr>
            <w:tcW w:w="1838" w:type="dxa"/>
            <w:tcBorders>
              <w:top w:val="nil"/>
              <w:left w:val="nil"/>
              <w:bottom w:val="nil"/>
              <w:right w:val="nil"/>
            </w:tcBorders>
          </w:tcPr>
          <w:p w14:paraId="6C5E0A83"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159</w:t>
            </w:r>
          </w:p>
        </w:tc>
        <w:tc>
          <w:tcPr>
            <w:tcW w:w="1945" w:type="dxa"/>
            <w:tcBorders>
              <w:top w:val="nil"/>
              <w:left w:val="nil"/>
              <w:bottom w:val="nil"/>
              <w:right w:val="nil"/>
            </w:tcBorders>
          </w:tcPr>
          <w:p w14:paraId="6EC63481"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8.2</w:t>
            </w:r>
          </w:p>
        </w:tc>
      </w:tr>
      <w:tr w:rsidR="00E74D22" w:rsidRPr="00081D4B" w14:paraId="7C1BA298" w14:textId="77777777" w:rsidTr="00B10682">
        <w:trPr>
          <w:jc w:val="center"/>
        </w:trPr>
        <w:tc>
          <w:tcPr>
            <w:tcW w:w="5856" w:type="dxa"/>
            <w:tcBorders>
              <w:top w:val="nil"/>
              <w:left w:val="nil"/>
              <w:bottom w:val="single" w:sz="4" w:space="0" w:color="auto"/>
              <w:right w:val="nil"/>
            </w:tcBorders>
          </w:tcPr>
          <w:p w14:paraId="5AE82482" w14:textId="77777777" w:rsidR="00E74D22" w:rsidRPr="00E74D22" w:rsidRDefault="00E74D22" w:rsidP="00B10682">
            <w:pPr>
              <w:spacing w:after="0" w:line="240" w:lineRule="auto"/>
              <w:ind w:firstLine="272"/>
              <w:rPr>
                <w:rFonts w:ascii="Arial" w:eastAsia="MS Mincho" w:hAnsi="Arial" w:cs="Arial"/>
              </w:rPr>
            </w:pPr>
            <w:r w:rsidRPr="00E74D22">
              <w:rPr>
                <w:rFonts w:ascii="Arial" w:eastAsia="MS Mincho" w:hAnsi="Arial" w:cs="Arial"/>
              </w:rPr>
              <w:t>Feasible</w:t>
            </w:r>
          </w:p>
        </w:tc>
        <w:tc>
          <w:tcPr>
            <w:tcW w:w="1838" w:type="dxa"/>
            <w:tcBorders>
              <w:top w:val="nil"/>
              <w:left w:val="nil"/>
              <w:bottom w:val="single" w:sz="4" w:space="0" w:color="auto"/>
              <w:right w:val="nil"/>
            </w:tcBorders>
          </w:tcPr>
          <w:p w14:paraId="16CD86F7"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1.770</w:t>
            </w:r>
          </w:p>
        </w:tc>
        <w:tc>
          <w:tcPr>
            <w:tcW w:w="1945" w:type="dxa"/>
            <w:tcBorders>
              <w:top w:val="nil"/>
              <w:left w:val="nil"/>
              <w:bottom w:val="single" w:sz="4" w:space="0" w:color="auto"/>
              <w:right w:val="nil"/>
            </w:tcBorders>
          </w:tcPr>
          <w:p w14:paraId="65BF6F3F" w14:textId="77777777" w:rsidR="00E74D22" w:rsidRPr="00E74D22" w:rsidRDefault="00E74D22" w:rsidP="00B10682">
            <w:pPr>
              <w:spacing w:after="0" w:line="240" w:lineRule="auto"/>
              <w:jc w:val="center"/>
              <w:rPr>
                <w:rFonts w:ascii="Arial" w:eastAsia="MS Mincho" w:hAnsi="Arial" w:cs="Arial"/>
              </w:rPr>
            </w:pPr>
            <w:r w:rsidRPr="00E74D22">
              <w:rPr>
                <w:rFonts w:ascii="Arial" w:eastAsia="MS Mincho" w:hAnsi="Arial" w:cs="Arial"/>
              </w:rPr>
              <w:t>91.8</w:t>
            </w:r>
          </w:p>
        </w:tc>
      </w:tr>
      <w:bookmarkEnd w:id="1"/>
    </w:tbl>
    <w:p w14:paraId="1F68A4E0" w14:textId="77777777" w:rsidR="00492106" w:rsidRPr="00492106" w:rsidRDefault="00492106" w:rsidP="00B40051">
      <w:pPr>
        <w:spacing w:after="0" w:line="360" w:lineRule="auto"/>
        <w:jc w:val="both"/>
        <w:rPr>
          <w:rFonts w:ascii="Arial" w:eastAsia="Arial" w:hAnsi="Arial" w:cs="Arial"/>
        </w:rPr>
      </w:pPr>
    </w:p>
    <w:p w14:paraId="09321941" w14:textId="671389FE" w:rsidR="00492106" w:rsidRDefault="00492106" w:rsidP="00B40051">
      <w:pPr>
        <w:spacing w:line="360" w:lineRule="auto"/>
        <w:ind w:firstLine="567"/>
        <w:jc w:val="both"/>
        <w:rPr>
          <w:rFonts w:ascii="Arial" w:hAnsi="Arial" w:cs="Arial"/>
        </w:rPr>
      </w:pPr>
      <w:r w:rsidRPr="00492106">
        <w:rPr>
          <w:rFonts w:ascii="Arial" w:hAnsi="Arial" w:cs="Arial"/>
          <w:lang w:eastAsia="ko-KR"/>
        </w:rPr>
        <w:t>Table 2 also shows that more than half of respondents do not complete primary immunization for a variety of reasons, the most common of which are that it is not yet time for immunization (50.9%) and their children are frequently sick (29%).</w:t>
      </w:r>
      <w:r w:rsidRPr="00492106">
        <w:rPr>
          <w:rFonts w:ascii="Arial" w:hAnsi="Arial" w:cs="Arial"/>
        </w:rPr>
        <w:t xml:space="preserve"> Research on toddlers in West Sumatra also reported that as many as 82.5% of respondents did not get complete primary immunization</w:t>
      </w:r>
      <w:r w:rsidRPr="00492106">
        <w:rPr>
          <w:rFonts w:ascii="Arial" w:hAnsi="Arial" w:cs="Arial"/>
        </w:rPr>
        <w:fldChar w:fldCharType="begin" w:fldLock="1"/>
      </w:r>
      <w:r w:rsidR="00730ED8">
        <w:rPr>
          <w:rFonts w:ascii="Arial" w:hAnsi="Arial" w:cs="Arial"/>
        </w:rPr>
        <w:instrText>ADDIN CSL_CITATION {"citationItems":[{"id":"ITEM-1","itemData":{"DOI":"10.31838/srp.2020.9.94","ISSN":"09762779","abstract":"This research explained scoring system in prediction of stunting risk among children in West Sumatera Province, Indonesia. This research was conducted in 2020 with case-control study among children under-five years. The number of respondents in this research were 40 cases group (stunting) and 40 control group (non-stunting) matching by age and sex. The sampling technique in this research was cluster random sampling. Data were gathered from primary data used a questionnaire. Data analysis was performed using chi-square test for bivariate analysis and multiple logistic regression for modeling, and Receiver Operation Characteristic (ROC) Curve as a diagnostic test in SPSS version 23.0. Sensitivity, specificity and accuracy ≥ 0.8 (80.0%) was assesed good. The scoring system for analyzing stunting risk in West Sumatera Province, Indonesia is based on predictors of mother’s level of education, birth weight, exclusive breastfeeding, the child’s appetite and parenting style. The accumalated total score obtained from the predictors is between 0 (if there is no risk) to 6 (if it has all risks). The cut-off point in grouping high risk of stunting and low risk of stunting is based on a total score of ≥ 4 (high risk of stunting) and &lt; 4 (low risk of stunting). The accuracy of scoring system in prediction of stunting risk among children in West Sumatera Province, Indonesia was 87.2% with a sensitivity of 70.0% and specificity of 90.0%. This scoring system of stunting risk can be categorized quite well in predicting stunting risk in West Sumatera Province, Indonesia.","author":[{"dropping-particle":"","family":"Masrul","given":"","non-dropping-particle":"","parse-names":false,"suffix":""},{"dropping-particle":"","family":"Usman","given":"Elly","non-dropping-particle":"","parse-names":false,"suffix":""},{"dropping-particle":"","family":"Yanis","given":"Amel","non-dropping-particle":"","parse-names":false,"suffix":""},{"dropping-particle":"","family":"Nindrea","given":"Ricvan Dana","non-dropping-particle":"","parse-names":false,"suffix":""}],"container-title":"Systematic Reviews in Pharmacy","id":"ITEM-1","issue":"9","issued":{"date-parts":[["2020"]]},"page":"636-641","title":"Scoring System in Prediction of Stunting Risk among Children in West Sumatera Province, Indonesia","type":"article-journal","volume":"11"},"uris":["http://www.mendeley.com/documents/?uuid=fffa579e-dbce-49fc-827d-45e4c5a28f2f"]}],"mendeley":{"formattedCitation":"(26)","plainTextFormattedCitation":"(26)","previouslyFormattedCitation":"(26)"},"properties":{"noteIndex":0},"schema":"https://github.com/citation-style-language/schema/raw/master/csl-citation.json"}</w:instrText>
      </w:r>
      <w:r w:rsidRPr="00492106">
        <w:rPr>
          <w:rFonts w:ascii="Arial" w:hAnsi="Arial" w:cs="Arial"/>
        </w:rPr>
        <w:fldChar w:fldCharType="separate"/>
      </w:r>
      <w:r w:rsidR="00540A4F" w:rsidRPr="00540A4F">
        <w:rPr>
          <w:rFonts w:ascii="Arial" w:hAnsi="Arial" w:cs="Arial"/>
          <w:noProof/>
        </w:rPr>
        <w:t>(26)</w:t>
      </w:r>
      <w:r w:rsidRPr="00492106">
        <w:rPr>
          <w:rFonts w:ascii="Arial" w:hAnsi="Arial" w:cs="Arial"/>
        </w:rPr>
        <w:fldChar w:fldCharType="end"/>
      </w:r>
      <w:r w:rsidRPr="00492106">
        <w:rPr>
          <w:rFonts w:ascii="Arial" w:hAnsi="Arial" w:cs="Arial"/>
        </w:rPr>
        <w:t>. In general, respondents came from households with feasible access for drinking water (73.4%), most of which were sourced from protected dug wells. Also, almost all respondents had feasible access for sanitation (91.8%).</w:t>
      </w:r>
    </w:p>
    <w:p w14:paraId="45787CF8" w14:textId="6B7A3C0C" w:rsidR="00B40051" w:rsidRPr="00492106" w:rsidRDefault="00B40051" w:rsidP="00E74D22">
      <w:pPr>
        <w:spacing w:line="360" w:lineRule="auto"/>
        <w:ind w:firstLine="567"/>
        <w:jc w:val="both"/>
        <w:rPr>
          <w:rFonts w:ascii="Arial" w:hAnsi="Arial" w:cs="Arial"/>
          <w:lang w:eastAsia="ko-KR"/>
        </w:rPr>
      </w:pPr>
      <w:r w:rsidRPr="00492106">
        <w:rPr>
          <w:rFonts w:ascii="Arial" w:hAnsi="Arial" w:cs="Arial"/>
          <w:lang w:eastAsia="ko-KR"/>
        </w:rPr>
        <w:t xml:space="preserve">Table 3 shows the Chi-Square test's bivariate analysis results. Two variables were substantially linked with stunting: primary immunization (p = 0.008; OR = </w:t>
      </w:r>
      <w:r w:rsidR="001231CD">
        <w:rPr>
          <w:rFonts w:ascii="Arial" w:hAnsi="Arial" w:cs="Arial"/>
          <w:lang w:eastAsia="ko-KR"/>
        </w:rPr>
        <w:t>1.39</w:t>
      </w:r>
      <w:r w:rsidRPr="00492106">
        <w:rPr>
          <w:rFonts w:ascii="Arial" w:hAnsi="Arial" w:cs="Arial"/>
          <w:lang w:eastAsia="ko-KR"/>
        </w:rPr>
        <w:t xml:space="preserve">; 95% CI = </w:t>
      </w:r>
      <w:r w:rsidR="001231CD">
        <w:rPr>
          <w:rFonts w:ascii="Arial" w:hAnsi="Arial" w:cs="Arial"/>
          <w:lang w:eastAsia="ko-KR"/>
        </w:rPr>
        <w:t>1</w:t>
      </w:r>
      <w:r w:rsidRPr="00492106">
        <w:rPr>
          <w:rFonts w:ascii="Arial" w:hAnsi="Arial" w:cs="Arial"/>
          <w:lang w:eastAsia="ko-KR"/>
        </w:rPr>
        <w:t>.</w:t>
      </w:r>
      <w:r w:rsidR="001231CD">
        <w:rPr>
          <w:rFonts w:ascii="Arial" w:hAnsi="Arial" w:cs="Arial"/>
          <w:lang w:eastAsia="ko-KR"/>
        </w:rPr>
        <w:t>081</w:t>
      </w:r>
      <w:r w:rsidRPr="00492106">
        <w:rPr>
          <w:rFonts w:ascii="Arial" w:hAnsi="Arial" w:cs="Arial"/>
          <w:lang w:eastAsia="ko-KR"/>
        </w:rPr>
        <w:t>-</w:t>
      </w:r>
      <w:r w:rsidR="001231CD">
        <w:rPr>
          <w:rFonts w:ascii="Arial" w:hAnsi="Arial" w:cs="Arial"/>
          <w:lang w:eastAsia="ko-KR"/>
        </w:rPr>
        <w:t>1.791</w:t>
      </w:r>
      <w:r w:rsidRPr="00492106">
        <w:rPr>
          <w:rFonts w:ascii="Arial" w:hAnsi="Arial" w:cs="Arial"/>
          <w:lang w:eastAsia="ko-KR"/>
        </w:rPr>
        <w:t>) and access to drinking water (p = 0.02</w:t>
      </w:r>
      <w:r w:rsidR="001231CD">
        <w:rPr>
          <w:rFonts w:ascii="Arial" w:hAnsi="Arial" w:cs="Arial"/>
          <w:lang w:eastAsia="ko-KR"/>
        </w:rPr>
        <w:t>4</w:t>
      </w:r>
      <w:r w:rsidRPr="00492106">
        <w:rPr>
          <w:rFonts w:ascii="Arial" w:hAnsi="Arial" w:cs="Arial"/>
          <w:lang w:eastAsia="ko-KR"/>
        </w:rPr>
        <w:t xml:space="preserve">; OR = </w:t>
      </w:r>
      <w:r w:rsidR="001231CD">
        <w:rPr>
          <w:rFonts w:ascii="Arial" w:hAnsi="Arial" w:cs="Arial"/>
          <w:lang w:eastAsia="ko-KR"/>
        </w:rPr>
        <w:t>1.35</w:t>
      </w:r>
      <w:r w:rsidRPr="00492106">
        <w:rPr>
          <w:rFonts w:ascii="Arial" w:hAnsi="Arial" w:cs="Arial"/>
          <w:lang w:eastAsia="ko-KR"/>
        </w:rPr>
        <w:t xml:space="preserve">; 95% CI = </w:t>
      </w:r>
      <w:r w:rsidR="001231CD">
        <w:rPr>
          <w:rFonts w:ascii="Arial" w:hAnsi="Arial" w:cs="Arial"/>
          <w:lang w:eastAsia="ko-KR"/>
        </w:rPr>
        <w:t>1.031</w:t>
      </w:r>
      <w:r w:rsidRPr="00492106">
        <w:rPr>
          <w:rFonts w:ascii="Arial" w:hAnsi="Arial" w:cs="Arial"/>
          <w:lang w:eastAsia="ko-KR"/>
        </w:rPr>
        <w:t>-</w:t>
      </w:r>
      <w:r w:rsidR="001231CD">
        <w:rPr>
          <w:rFonts w:ascii="Arial" w:hAnsi="Arial" w:cs="Arial"/>
          <w:lang w:eastAsia="ko-KR"/>
        </w:rPr>
        <w:t>1.765</w:t>
      </w:r>
      <w:r w:rsidRPr="00492106">
        <w:rPr>
          <w:rFonts w:ascii="Arial" w:hAnsi="Arial" w:cs="Arial"/>
          <w:lang w:eastAsia="ko-KR"/>
        </w:rPr>
        <w:t xml:space="preserve">). The binary logistic regression test results in Table 4 reveal that toddlers with an incomplete primary immunization history are more likely to be stunted (OR = 1.35; 95% </w:t>
      </w:r>
      <w:r w:rsidRPr="00492106">
        <w:rPr>
          <w:rFonts w:ascii="Arial" w:hAnsi="Arial" w:cs="Arial"/>
          <w:lang w:eastAsia="ko-KR"/>
        </w:rPr>
        <w:lastRenderedPageBreak/>
        <w:t xml:space="preserve">CI = </w:t>
      </w:r>
      <w:r w:rsidR="003179E9">
        <w:rPr>
          <w:rFonts w:ascii="Arial" w:hAnsi="Arial" w:cs="Arial"/>
          <w:lang w:eastAsia="ko-KR"/>
        </w:rPr>
        <w:t>0.454</w:t>
      </w:r>
      <w:r w:rsidRPr="00492106">
        <w:rPr>
          <w:rFonts w:ascii="Arial" w:hAnsi="Arial" w:cs="Arial"/>
          <w:lang w:eastAsia="ko-KR"/>
        </w:rPr>
        <w:t>–</w:t>
      </w:r>
      <w:r w:rsidR="003179E9">
        <w:rPr>
          <w:rFonts w:ascii="Arial" w:hAnsi="Arial" w:cs="Arial"/>
          <w:lang w:eastAsia="ko-KR"/>
        </w:rPr>
        <w:t>0.562</w:t>
      </w:r>
      <w:r w:rsidRPr="00492106">
        <w:rPr>
          <w:rFonts w:ascii="Arial" w:hAnsi="Arial" w:cs="Arial"/>
          <w:lang w:eastAsia="ko-KR"/>
        </w:rPr>
        <w:t>). Furthermore, toddlers who did not have access to safe drinking water were more likely to be stunted (OR = 1.3</w:t>
      </w:r>
      <w:r w:rsidR="003179E9">
        <w:rPr>
          <w:rFonts w:ascii="Arial" w:hAnsi="Arial" w:cs="Arial"/>
          <w:lang w:eastAsia="ko-KR"/>
        </w:rPr>
        <w:t>8</w:t>
      </w:r>
      <w:r w:rsidRPr="00492106">
        <w:rPr>
          <w:rFonts w:ascii="Arial" w:hAnsi="Arial" w:cs="Arial"/>
          <w:lang w:eastAsia="ko-KR"/>
        </w:rPr>
        <w:t xml:space="preserve">; 95% CI = </w:t>
      </w:r>
      <w:r w:rsidR="003179E9">
        <w:rPr>
          <w:rFonts w:ascii="Arial" w:hAnsi="Arial" w:cs="Arial"/>
          <w:lang w:eastAsia="ko-KR"/>
        </w:rPr>
        <w:t>0.051</w:t>
      </w:r>
      <w:r w:rsidRPr="00492106">
        <w:rPr>
          <w:rFonts w:ascii="Arial" w:hAnsi="Arial" w:cs="Arial"/>
          <w:lang w:eastAsia="ko-KR"/>
        </w:rPr>
        <w:t>-</w:t>
      </w:r>
      <w:r w:rsidR="003179E9">
        <w:rPr>
          <w:rFonts w:ascii="Arial" w:hAnsi="Arial" w:cs="Arial"/>
          <w:lang w:eastAsia="ko-KR"/>
        </w:rPr>
        <w:t>0.595</w:t>
      </w:r>
      <w:r w:rsidRPr="00492106">
        <w:rPr>
          <w:rFonts w:ascii="Arial" w:hAnsi="Arial" w:cs="Arial"/>
          <w:lang w:eastAsia="ko-KR"/>
        </w:rPr>
        <w:t>).</w:t>
      </w:r>
    </w:p>
    <w:p w14:paraId="61FF8989" w14:textId="77777777" w:rsidR="00492106" w:rsidRPr="00492106" w:rsidRDefault="00492106" w:rsidP="00B40051">
      <w:pPr>
        <w:spacing w:after="0" w:line="240" w:lineRule="auto"/>
        <w:jc w:val="center"/>
        <w:rPr>
          <w:rFonts w:ascii="Arial" w:hAnsi="Arial" w:cs="Arial"/>
          <w:b/>
          <w:bCs/>
          <w:iCs/>
        </w:rPr>
      </w:pPr>
      <w:r w:rsidRPr="00492106">
        <w:rPr>
          <w:rFonts w:ascii="Arial" w:hAnsi="Arial" w:cs="Arial"/>
          <w:b/>
          <w:bCs/>
        </w:rPr>
        <w:t xml:space="preserve">Tabel 3. </w:t>
      </w:r>
      <w:r w:rsidRPr="00492106">
        <w:rPr>
          <w:rStyle w:val="15"/>
          <w:rFonts w:ascii="Arial" w:hAnsi="Arial" w:cs="Arial"/>
          <w:iCs/>
        </w:rPr>
        <w:t>Bivariate Analysis of Indicators of Stunting Management in Toddlers aged 12-23 Months in Lampung Province</w:t>
      </w:r>
    </w:p>
    <w:tbl>
      <w:tblPr>
        <w:tblW w:w="0" w:type="auto"/>
        <w:jc w:val="center"/>
        <w:tblCellMar>
          <w:top w:w="15" w:type="dxa"/>
          <w:left w:w="15" w:type="dxa"/>
          <w:bottom w:w="15" w:type="dxa"/>
          <w:right w:w="15" w:type="dxa"/>
        </w:tblCellMar>
        <w:tblLook w:val="04A0" w:firstRow="1" w:lastRow="0" w:firstColumn="1" w:lastColumn="0" w:noHBand="0" w:noVBand="1"/>
      </w:tblPr>
      <w:tblGrid>
        <w:gridCol w:w="2135"/>
        <w:gridCol w:w="712"/>
        <w:gridCol w:w="1079"/>
        <w:gridCol w:w="874"/>
        <w:gridCol w:w="859"/>
        <w:gridCol w:w="1660"/>
        <w:gridCol w:w="1185"/>
      </w:tblGrid>
      <w:tr w:rsidR="00492106" w:rsidRPr="00492106" w14:paraId="759858C1" w14:textId="77777777" w:rsidTr="00494C66">
        <w:trPr>
          <w:jc w:val="center"/>
        </w:trPr>
        <w:tc>
          <w:tcPr>
            <w:tcW w:w="2135" w:type="dxa"/>
            <w:vMerge w:val="restart"/>
            <w:tcBorders>
              <w:top w:val="outset" w:sz="6" w:space="0" w:color="auto"/>
              <w:left w:val="nil"/>
              <w:bottom w:val="single" w:sz="4" w:space="0" w:color="auto"/>
              <w:right w:val="nil"/>
            </w:tcBorders>
          </w:tcPr>
          <w:p w14:paraId="234C2C15" w14:textId="77777777" w:rsidR="00492106" w:rsidRPr="00492106" w:rsidRDefault="00492106" w:rsidP="00B40051">
            <w:pPr>
              <w:spacing w:after="0" w:line="240" w:lineRule="auto"/>
              <w:jc w:val="center"/>
              <w:rPr>
                <w:rFonts w:ascii="Arial" w:eastAsia="MS Mincho" w:hAnsi="Arial" w:cs="Arial"/>
                <w:b/>
                <w:bCs/>
              </w:rPr>
            </w:pPr>
            <w:bookmarkStart w:id="2" w:name="_Hlk166613052"/>
            <w:r w:rsidRPr="00492106">
              <w:rPr>
                <w:rFonts w:ascii="Arial" w:eastAsia="MS Mincho" w:hAnsi="Arial" w:cs="Arial"/>
                <w:b/>
                <w:bCs/>
              </w:rPr>
              <w:t>Category</w:t>
            </w:r>
          </w:p>
        </w:tc>
        <w:tc>
          <w:tcPr>
            <w:tcW w:w="3524" w:type="dxa"/>
            <w:gridSpan w:val="4"/>
            <w:tcBorders>
              <w:top w:val="outset" w:sz="6" w:space="0" w:color="auto"/>
              <w:left w:val="nil"/>
              <w:bottom w:val="outset" w:sz="6" w:space="0" w:color="auto"/>
              <w:right w:val="nil"/>
            </w:tcBorders>
          </w:tcPr>
          <w:p w14:paraId="3C43D6E7" w14:textId="77777777" w:rsidR="00492106" w:rsidRPr="00492106" w:rsidRDefault="00492106" w:rsidP="00B40051">
            <w:pPr>
              <w:spacing w:after="0" w:line="240" w:lineRule="auto"/>
              <w:jc w:val="center"/>
              <w:rPr>
                <w:rFonts w:ascii="Arial" w:hAnsi="Arial" w:cs="Arial"/>
                <w:b/>
                <w:bCs/>
              </w:rPr>
            </w:pPr>
            <w:r w:rsidRPr="00492106">
              <w:rPr>
                <w:rFonts w:ascii="Arial" w:eastAsia="MS Mincho" w:hAnsi="Arial" w:cs="Arial"/>
                <w:b/>
                <w:bCs/>
              </w:rPr>
              <w:t>Incidence of Stunting</w:t>
            </w:r>
          </w:p>
        </w:tc>
        <w:tc>
          <w:tcPr>
            <w:tcW w:w="1660" w:type="dxa"/>
            <w:vMerge w:val="restart"/>
            <w:tcBorders>
              <w:top w:val="outset" w:sz="6" w:space="0" w:color="auto"/>
              <w:left w:val="nil"/>
              <w:right w:val="nil"/>
            </w:tcBorders>
          </w:tcPr>
          <w:p w14:paraId="11983B61"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 xml:space="preserve">OR </w:t>
            </w:r>
          </w:p>
          <w:p w14:paraId="182ABB74"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 xml:space="preserve">95% CI </w:t>
            </w:r>
          </w:p>
          <w:p w14:paraId="3A6601FF"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(Lower-Upper)</w:t>
            </w:r>
          </w:p>
        </w:tc>
        <w:tc>
          <w:tcPr>
            <w:tcW w:w="1185" w:type="dxa"/>
            <w:vMerge w:val="restart"/>
            <w:tcBorders>
              <w:top w:val="outset" w:sz="6" w:space="0" w:color="auto"/>
              <w:left w:val="nil"/>
              <w:bottom w:val="outset" w:sz="6" w:space="0" w:color="auto"/>
              <w:right w:val="nil"/>
            </w:tcBorders>
            <w:vAlign w:val="center"/>
          </w:tcPr>
          <w:p w14:paraId="76675798" w14:textId="77777777" w:rsidR="00492106" w:rsidRPr="00492106" w:rsidRDefault="00492106" w:rsidP="00B40051">
            <w:pPr>
              <w:spacing w:after="0" w:line="240" w:lineRule="auto"/>
              <w:jc w:val="center"/>
              <w:rPr>
                <w:rFonts w:ascii="Arial" w:eastAsia="MS Mincho" w:hAnsi="Arial" w:cs="Arial"/>
                <w:b/>
                <w:bCs/>
                <w:i/>
                <w:iCs/>
              </w:rPr>
            </w:pPr>
            <w:r w:rsidRPr="00492106">
              <w:rPr>
                <w:rFonts w:ascii="Arial" w:eastAsia="MS Mincho" w:hAnsi="Arial" w:cs="Arial"/>
                <w:b/>
                <w:bCs/>
                <w:i/>
                <w:iCs/>
              </w:rPr>
              <w:t>Chi-Square Test P-value</w:t>
            </w:r>
          </w:p>
        </w:tc>
      </w:tr>
      <w:tr w:rsidR="00492106" w:rsidRPr="00492106" w14:paraId="3F0D3E41" w14:textId="77777777" w:rsidTr="00494C66">
        <w:trPr>
          <w:jc w:val="center"/>
        </w:trPr>
        <w:tc>
          <w:tcPr>
            <w:tcW w:w="2135" w:type="dxa"/>
            <w:vMerge/>
            <w:tcBorders>
              <w:top w:val="outset" w:sz="6" w:space="0" w:color="auto"/>
              <w:left w:val="nil"/>
              <w:bottom w:val="single" w:sz="4" w:space="0" w:color="auto"/>
              <w:right w:val="nil"/>
            </w:tcBorders>
            <w:vAlign w:val="center"/>
          </w:tcPr>
          <w:p w14:paraId="7091CBBD" w14:textId="77777777" w:rsidR="00492106" w:rsidRPr="00492106" w:rsidRDefault="00492106" w:rsidP="00B40051">
            <w:pPr>
              <w:spacing w:after="0" w:line="240" w:lineRule="auto"/>
              <w:rPr>
                <w:rFonts w:ascii="Arial" w:eastAsia="MS Mincho" w:hAnsi="Arial" w:cs="Arial"/>
              </w:rPr>
            </w:pPr>
          </w:p>
        </w:tc>
        <w:tc>
          <w:tcPr>
            <w:tcW w:w="1791" w:type="dxa"/>
            <w:gridSpan w:val="2"/>
            <w:tcBorders>
              <w:top w:val="nil"/>
              <w:left w:val="nil"/>
              <w:bottom w:val="outset" w:sz="6" w:space="0" w:color="auto"/>
              <w:right w:val="nil"/>
            </w:tcBorders>
          </w:tcPr>
          <w:p w14:paraId="2441F398"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Stunting</w:t>
            </w:r>
          </w:p>
        </w:tc>
        <w:tc>
          <w:tcPr>
            <w:tcW w:w="1733" w:type="dxa"/>
            <w:gridSpan w:val="2"/>
            <w:tcBorders>
              <w:top w:val="nil"/>
              <w:left w:val="nil"/>
              <w:bottom w:val="outset" w:sz="6" w:space="0" w:color="auto"/>
              <w:right w:val="nil"/>
            </w:tcBorders>
          </w:tcPr>
          <w:p w14:paraId="112AD148" w14:textId="77777777" w:rsidR="00492106" w:rsidRPr="00492106" w:rsidRDefault="00492106" w:rsidP="00B40051">
            <w:pPr>
              <w:spacing w:after="0" w:line="240" w:lineRule="auto"/>
              <w:jc w:val="center"/>
              <w:rPr>
                <w:rFonts w:ascii="Arial" w:hAnsi="Arial" w:cs="Arial"/>
                <w:b/>
                <w:bCs/>
              </w:rPr>
            </w:pPr>
            <w:r w:rsidRPr="00492106">
              <w:rPr>
                <w:rFonts w:ascii="Arial" w:eastAsia="MS Mincho" w:hAnsi="Arial" w:cs="Arial"/>
                <w:b/>
                <w:bCs/>
              </w:rPr>
              <w:t>Not stunting</w:t>
            </w:r>
          </w:p>
        </w:tc>
        <w:tc>
          <w:tcPr>
            <w:tcW w:w="1660" w:type="dxa"/>
            <w:vMerge/>
            <w:tcBorders>
              <w:left w:val="nil"/>
              <w:right w:val="nil"/>
            </w:tcBorders>
          </w:tcPr>
          <w:p w14:paraId="32AB8070" w14:textId="77777777" w:rsidR="00492106" w:rsidRPr="00492106" w:rsidRDefault="00492106" w:rsidP="00B40051">
            <w:pPr>
              <w:spacing w:after="0" w:line="240" w:lineRule="auto"/>
              <w:rPr>
                <w:rFonts w:ascii="Arial" w:eastAsia="MS Mincho" w:hAnsi="Arial" w:cs="Arial"/>
                <w:i/>
                <w:iCs/>
              </w:rPr>
            </w:pPr>
          </w:p>
        </w:tc>
        <w:tc>
          <w:tcPr>
            <w:tcW w:w="1185" w:type="dxa"/>
            <w:vMerge/>
            <w:tcBorders>
              <w:top w:val="outset" w:sz="6" w:space="0" w:color="auto"/>
              <w:left w:val="nil"/>
              <w:bottom w:val="outset" w:sz="6" w:space="0" w:color="auto"/>
              <w:right w:val="nil"/>
            </w:tcBorders>
            <w:vAlign w:val="center"/>
          </w:tcPr>
          <w:p w14:paraId="786B14E3" w14:textId="77777777" w:rsidR="00492106" w:rsidRPr="00492106" w:rsidRDefault="00492106" w:rsidP="00B40051">
            <w:pPr>
              <w:spacing w:after="0" w:line="240" w:lineRule="auto"/>
              <w:rPr>
                <w:rFonts w:ascii="Arial" w:eastAsia="MS Mincho" w:hAnsi="Arial" w:cs="Arial"/>
                <w:i/>
                <w:iCs/>
              </w:rPr>
            </w:pPr>
          </w:p>
        </w:tc>
      </w:tr>
      <w:tr w:rsidR="00492106" w:rsidRPr="00492106" w14:paraId="19847FE2" w14:textId="77777777" w:rsidTr="00494C66">
        <w:trPr>
          <w:jc w:val="center"/>
        </w:trPr>
        <w:tc>
          <w:tcPr>
            <w:tcW w:w="2135" w:type="dxa"/>
            <w:vMerge/>
            <w:tcBorders>
              <w:top w:val="outset" w:sz="6" w:space="0" w:color="auto"/>
              <w:left w:val="nil"/>
              <w:bottom w:val="single" w:sz="4" w:space="0" w:color="auto"/>
              <w:right w:val="nil"/>
            </w:tcBorders>
            <w:vAlign w:val="center"/>
          </w:tcPr>
          <w:p w14:paraId="7A1A0BC4" w14:textId="77777777" w:rsidR="00492106" w:rsidRPr="00492106" w:rsidRDefault="00492106" w:rsidP="00B40051">
            <w:pPr>
              <w:spacing w:after="0" w:line="240" w:lineRule="auto"/>
              <w:rPr>
                <w:rFonts w:ascii="Arial" w:eastAsia="MS Mincho" w:hAnsi="Arial" w:cs="Arial"/>
              </w:rPr>
            </w:pPr>
          </w:p>
        </w:tc>
        <w:tc>
          <w:tcPr>
            <w:tcW w:w="712" w:type="dxa"/>
            <w:tcBorders>
              <w:top w:val="nil"/>
              <w:left w:val="nil"/>
              <w:bottom w:val="outset" w:sz="6" w:space="0" w:color="auto"/>
              <w:right w:val="nil"/>
            </w:tcBorders>
          </w:tcPr>
          <w:p w14:paraId="54425B55"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n</w:t>
            </w:r>
          </w:p>
        </w:tc>
        <w:tc>
          <w:tcPr>
            <w:tcW w:w="1079" w:type="dxa"/>
            <w:tcBorders>
              <w:top w:val="nil"/>
              <w:left w:val="nil"/>
              <w:bottom w:val="outset" w:sz="6" w:space="0" w:color="auto"/>
              <w:right w:val="nil"/>
            </w:tcBorders>
          </w:tcPr>
          <w:p w14:paraId="10B6B2E9"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w:t>
            </w:r>
          </w:p>
        </w:tc>
        <w:tc>
          <w:tcPr>
            <w:tcW w:w="874" w:type="dxa"/>
            <w:tcBorders>
              <w:top w:val="nil"/>
              <w:left w:val="nil"/>
              <w:bottom w:val="outset" w:sz="6" w:space="0" w:color="auto"/>
              <w:right w:val="nil"/>
            </w:tcBorders>
          </w:tcPr>
          <w:p w14:paraId="4BFA3EC1" w14:textId="6B0B0741" w:rsidR="00492106" w:rsidRPr="00492106" w:rsidRDefault="006218BD" w:rsidP="00B40051">
            <w:pPr>
              <w:spacing w:after="0" w:line="240" w:lineRule="auto"/>
              <w:jc w:val="center"/>
              <w:rPr>
                <w:rFonts w:ascii="Arial" w:eastAsia="MS Mincho" w:hAnsi="Arial" w:cs="Arial"/>
                <w:b/>
                <w:bCs/>
              </w:rPr>
            </w:pPr>
            <w:r w:rsidRPr="00492106">
              <w:rPr>
                <w:rFonts w:ascii="Arial" w:eastAsia="MS Mincho" w:hAnsi="Arial" w:cs="Arial"/>
                <w:b/>
                <w:bCs/>
              </w:rPr>
              <w:t>N</w:t>
            </w:r>
          </w:p>
        </w:tc>
        <w:tc>
          <w:tcPr>
            <w:tcW w:w="859" w:type="dxa"/>
            <w:tcBorders>
              <w:top w:val="outset" w:sz="6" w:space="0" w:color="auto"/>
              <w:left w:val="nil"/>
              <w:bottom w:val="outset" w:sz="6" w:space="0" w:color="auto"/>
              <w:right w:val="nil"/>
            </w:tcBorders>
          </w:tcPr>
          <w:p w14:paraId="5A464F19" w14:textId="77777777" w:rsidR="00492106" w:rsidRPr="00492106" w:rsidRDefault="00492106" w:rsidP="00B40051">
            <w:pPr>
              <w:spacing w:after="0" w:line="240" w:lineRule="auto"/>
              <w:jc w:val="center"/>
              <w:rPr>
                <w:rFonts w:ascii="Arial" w:eastAsia="MS Mincho" w:hAnsi="Arial" w:cs="Arial"/>
                <w:b/>
                <w:bCs/>
              </w:rPr>
            </w:pPr>
            <w:r w:rsidRPr="00492106">
              <w:rPr>
                <w:rFonts w:ascii="Arial" w:eastAsia="MS Mincho" w:hAnsi="Arial" w:cs="Arial"/>
                <w:b/>
                <w:bCs/>
              </w:rPr>
              <w:t>%</w:t>
            </w:r>
          </w:p>
        </w:tc>
        <w:tc>
          <w:tcPr>
            <w:tcW w:w="1660" w:type="dxa"/>
            <w:vMerge/>
            <w:tcBorders>
              <w:left w:val="nil"/>
              <w:bottom w:val="outset" w:sz="6" w:space="0" w:color="auto"/>
              <w:right w:val="nil"/>
            </w:tcBorders>
          </w:tcPr>
          <w:p w14:paraId="56555BE1" w14:textId="77777777" w:rsidR="00492106" w:rsidRPr="00492106" w:rsidRDefault="00492106" w:rsidP="00B40051">
            <w:pPr>
              <w:spacing w:after="0" w:line="240" w:lineRule="auto"/>
              <w:rPr>
                <w:rFonts w:ascii="Arial" w:eastAsia="MS Mincho" w:hAnsi="Arial" w:cs="Arial"/>
                <w:i/>
                <w:iCs/>
              </w:rPr>
            </w:pPr>
          </w:p>
        </w:tc>
        <w:tc>
          <w:tcPr>
            <w:tcW w:w="1185" w:type="dxa"/>
            <w:vMerge/>
            <w:tcBorders>
              <w:top w:val="outset" w:sz="6" w:space="0" w:color="auto"/>
              <w:left w:val="nil"/>
              <w:bottom w:val="outset" w:sz="6" w:space="0" w:color="auto"/>
              <w:right w:val="nil"/>
            </w:tcBorders>
            <w:vAlign w:val="center"/>
          </w:tcPr>
          <w:p w14:paraId="23B2B2DD" w14:textId="77777777" w:rsidR="00492106" w:rsidRPr="00492106" w:rsidRDefault="00492106" w:rsidP="00B40051">
            <w:pPr>
              <w:spacing w:after="0" w:line="240" w:lineRule="auto"/>
              <w:rPr>
                <w:rFonts w:ascii="Arial" w:eastAsia="MS Mincho" w:hAnsi="Arial" w:cs="Arial"/>
                <w:i/>
                <w:iCs/>
              </w:rPr>
            </w:pPr>
          </w:p>
        </w:tc>
      </w:tr>
      <w:tr w:rsidR="00492106" w:rsidRPr="00492106" w14:paraId="22898105" w14:textId="77777777" w:rsidTr="00494C66">
        <w:trPr>
          <w:jc w:val="center"/>
        </w:trPr>
        <w:tc>
          <w:tcPr>
            <w:tcW w:w="2135" w:type="dxa"/>
            <w:tcBorders>
              <w:top w:val="single" w:sz="4" w:space="0" w:color="auto"/>
              <w:left w:val="nil"/>
              <w:bottom w:val="nil"/>
              <w:right w:val="nil"/>
            </w:tcBorders>
          </w:tcPr>
          <w:p w14:paraId="0B2AD267" w14:textId="77777777" w:rsidR="00492106" w:rsidRPr="00492106" w:rsidRDefault="00492106" w:rsidP="00B40051">
            <w:pPr>
              <w:spacing w:after="0" w:line="240" w:lineRule="auto"/>
              <w:rPr>
                <w:rFonts w:ascii="Arial" w:eastAsia="MS Mincho" w:hAnsi="Arial" w:cs="Arial"/>
              </w:rPr>
            </w:pPr>
            <w:r w:rsidRPr="00492106">
              <w:rPr>
                <w:rFonts w:ascii="Arial" w:eastAsia="MS Mincho" w:hAnsi="Arial" w:cs="Arial"/>
              </w:rPr>
              <w:t>Mother’s Iron Tablets Consumption</w:t>
            </w:r>
          </w:p>
        </w:tc>
        <w:tc>
          <w:tcPr>
            <w:tcW w:w="712" w:type="dxa"/>
            <w:tcBorders>
              <w:top w:val="nil"/>
              <w:left w:val="nil"/>
              <w:bottom w:val="nil"/>
              <w:right w:val="nil"/>
            </w:tcBorders>
          </w:tcPr>
          <w:p w14:paraId="04D66FF8" w14:textId="77777777" w:rsidR="00492106" w:rsidRPr="00492106" w:rsidRDefault="00492106" w:rsidP="00B40051">
            <w:pPr>
              <w:spacing w:after="0" w:line="240" w:lineRule="auto"/>
              <w:rPr>
                <w:rFonts w:ascii="Arial" w:eastAsia="MS Mincho" w:hAnsi="Arial" w:cs="Arial"/>
              </w:rPr>
            </w:pPr>
          </w:p>
        </w:tc>
        <w:tc>
          <w:tcPr>
            <w:tcW w:w="1079" w:type="dxa"/>
            <w:tcBorders>
              <w:top w:val="nil"/>
              <w:left w:val="nil"/>
              <w:bottom w:val="nil"/>
              <w:right w:val="nil"/>
            </w:tcBorders>
          </w:tcPr>
          <w:p w14:paraId="31923990" w14:textId="77777777" w:rsidR="00492106" w:rsidRPr="00492106" w:rsidRDefault="00492106" w:rsidP="00B40051">
            <w:pPr>
              <w:spacing w:after="0" w:line="240" w:lineRule="auto"/>
              <w:rPr>
                <w:rFonts w:ascii="Arial" w:eastAsia="MS Mincho" w:hAnsi="Arial" w:cs="Arial"/>
              </w:rPr>
            </w:pPr>
          </w:p>
        </w:tc>
        <w:tc>
          <w:tcPr>
            <w:tcW w:w="874" w:type="dxa"/>
            <w:tcBorders>
              <w:top w:val="nil"/>
              <w:left w:val="nil"/>
              <w:bottom w:val="nil"/>
              <w:right w:val="nil"/>
            </w:tcBorders>
          </w:tcPr>
          <w:p w14:paraId="51B71331" w14:textId="77777777" w:rsidR="00492106" w:rsidRPr="00492106" w:rsidRDefault="00492106" w:rsidP="00B40051">
            <w:pPr>
              <w:spacing w:after="0" w:line="240" w:lineRule="auto"/>
              <w:rPr>
                <w:rFonts w:ascii="Arial" w:eastAsia="MS Mincho" w:hAnsi="Arial" w:cs="Arial"/>
              </w:rPr>
            </w:pPr>
          </w:p>
        </w:tc>
        <w:tc>
          <w:tcPr>
            <w:tcW w:w="859" w:type="dxa"/>
            <w:tcBorders>
              <w:top w:val="nil"/>
              <w:left w:val="nil"/>
              <w:bottom w:val="nil"/>
              <w:right w:val="nil"/>
            </w:tcBorders>
          </w:tcPr>
          <w:p w14:paraId="77681C62" w14:textId="77777777" w:rsidR="00492106" w:rsidRPr="00492106" w:rsidRDefault="00492106" w:rsidP="00B40051">
            <w:pPr>
              <w:spacing w:after="0" w:line="240" w:lineRule="auto"/>
              <w:rPr>
                <w:rFonts w:ascii="Arial" w:eastAsia="MS Mincho" w:hAnsi="Arial" w:cs="Arial"/>
              </w:rPr>
            </w:pPr>
          </w:p>
        </w:tc>
        <w:tc>
          <w:tcPr>
            <w:tcW w:w="1660" w:type="dxa"/>
            <w:tcBorders>
              <w:top w:val="nil"/>
              <w:left w:val="nil"/>
              <w:bottom w:val="nil"/>
              <w:right w:val="nil"/>
            </w:tcBorders>
          </w:tcPr>
          <w:p w14:paraId="7015D6C8" w14:textId="77777777" w:rsidR="00492106" w:rsidRPr="00492106" w:rsidRDefault="00492106" w:rsidP="00B40051">
            <w:pPr>
              <w:spacing w:after="0" w:line="240" w:lineRule="auto"/>
              <w:rPr>
                <w:rFonts w:ascii="Arial" w:eastAsia="MS Mincho" w:hAnsi="Arial" w:cs="Arial"/>
              </w:rPr>
            </w:pPr>
          </w:p>
        </w:tc>
        <w:tc>
          <w:tcPr>
            <w:tcW w:w="1185" w:type="dxa"/>
            <w:tcBorders>
              <w:top w:val="nil"/>
              <w:left w:val="nil"/>
              <w:bottom w:val="nil"/>
              <w:right w:val="nil"/>
            </w:tcBorders>
          </w:tcPr>
          <w:p w14:paraId="10DDA82D" w14:textId="77777777" w:rsidR="00492106" w:rsidRPr="00492106" w:rsidRDefault="00492106" w:rsidP="00B40051">
            <w:pPr>
              <w:spacing w:after="0" w:line="240" w:lineRule="auto"/>
              <w:rPr>
                <w:rFonts w:ascii="Arial" w:eastAsia="MS Mincho" w:hAnsi="Arial" w:cs="Arial"/>
              </w:rPr>
            </w:pPr>
          </w:p>
        </w:tc>
      </w:tr>
      <w:tr w:rsidR="00494C66" w:rsidRPr="00492106" w14:paraId="32C7E6EB" w14:textId="77777777" w:rsidTr="00494C66">
        <w:trPr>
          <w:jc w:val="center"/>
        </w:trPr>
        <w:tc>
          <w:tcPr>
            <w:tcW w:w="2135" w:type="dxa"/>
            <w:tcBorders>
              <w:top w:val="nil"/>
              <w:left w:val="nil"/>
              <w:bottom w:val="nil"/>
              <w:right w:val="nil"/>
            </w:tcBorders>
          </w:tcPr>
          <w:p w14:paraId="102758EA"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 xml:space="preserve">Inappropriate </w:t>
            </w:r>
          </w:p>
        </w:tc>
        <w:tc>
          <w:tcPr>
            <w:tcW w:w="712" w:type="dxa"/>
            <w:tcBorders>
              <w:top w:val="nil"/>
              <w:left w:val="nil"/>
              <w:bottom w:val="nil"/>
              <w:right w:val="nil"/>
            </w:tcBorders>
          </w:tcPr>
          <w:p w14:paraId="508AB00B"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223</w:t>
            </w:r>
          </w:p>
        </w:tc>
        <w:tc>
          <w:tcPr>
            <w:tcW w:w="1079" w:type="dxa"/>
            <w:tcBorders>
              <w:top w:val="nil"/>
              <w:left w:val="nil"/>
              <w:bottom w:val="nil"/>
              <w:right w:val="nil"/>
            </w:tcBorders>
          </w:tcPr>
          <w:p w14:paraId="7390882F"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17.2</w:t>
            </w:r>
          </w:p>
        </w:tc>
        <w:tc>
          <w:tcPr>
            <w:tcW w:w="874" w:type="dxa"/>
            <w:tcBorders>
              <w:top w:val="nil"/>
              <w:left w:val="nil"/>
              <w:bottom w:val="nil"/>
              <w:right w:val="nil"/>
            </w:tcBorders>
          </w:tcPr>
          <w:p w14:paraId="0AC56C63"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1070</w:t>
            </w:r>
          </w:p>
        </w:tc>
        <w:tc>
          <w:tcPr>
            <w:tcW w:w="859" w:type="dxa"/>
            <w:tcBorders>
              <w:top w:val="nil"/>
              <w:left w:val="nil"/>
              <w:bottom w:val="nil"/>
              <w:right w:val="nil"/>
            </w:tcBorders>
          </w:tcPr>
          <w:p w14:paraId="52DBC870"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82.8</w:t>
            </w:r>
          </w:p>
        </w:tc>
        <w:tc>
          <w:tcPr>
            <w:tcW w:w="1660" w:type="dxa"/>
            <w:tcBorders>
              <w:top w:val="nil"/>
              <w:left w:val="nil"/>
              <w:bottom w:val="nil"/>
              <w:right w:val="nil"/>
            </w:tcBorders>
          </w:tcPr>
          <w:p w14:paraId="54A54C8C" w14:textId="01E3F8D5"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1.144</w:t>
            </w:r>
          </w:p>
        </w:tc>
        <w:tc>
          <w:tcPr>
            <w:tcW w:w="1185" w:type="dxa"/>
            <w:tcBorders>
              <w:top w:val="nil"/>
              <w:left w:val="nil"/>
              <w:bottom w:val="nil"/>
              <w:right w:val="nil"/>
            </w:tcBorders>
          </w:tcPr>
          <w:p w14:paraId="64768B39"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0.308</w:t>
            </w:r>
          </w:p>
        </w:tc>
      </w:tr>
      <w:tr w:rsidR="00494C66" w:rsidRPr="00492106" w14:paraId="5DBF6472" w14:textId="77777777" w:rsidTr="00494C66">
        <w:trPr>
          <w:jc w:val="center"/>
        </w:trPr>
        <w:tc>
          <w:tcPr>
            <w:tcW w:w="2135" w:type="dxa"/>
            <w:tcBorders>
              <w:top w:val="nil"/>
              <w:left w:val="nil"/>
              <w:bottom w:val="nil"/>
              <w:right w:val="nil"/>
            </w:tcBorders>
          </w:tcPr>
          <w:p w14:paraId="39F29DB6"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 xml:space="preserve">Appropriate </w:t>
            </w:r>
          </w:p>
        </w:tc>
        <w:tc>
          <w:tcPr>
            <w:tcW w:w="712" w:type="dxa"/>
            <w:tcBorders>
              <w:top w:val="nil"/>
              <w:left w:val="nil"/>
              <w:bottom w:val="nil"/>
              <w:right w:val="nil"/>
            </w:tcBorders>
          </w:tcPr>
          <w:p w14:paraId="2B992EE1"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 xml:space="preserve">98 </w:t>
            </w:r>
          </w:p>
        </w:tc>
        <w:tc>
          <w:tcPr>
            <w:tcW w:w="1079" w:type="dxa"/>
            <w:tcBorders>
              <w:top w:val="nil"/>
              <w:left w:val="nil"/>
              <w:bottom w:val="nil"/>
              <w:right w:val="nil"/>
            </w:tcBorders>
          </w:tcPr>
          <w:p w14:paraId="2EA82676"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15.4</w:t>
            </w:r>
          </w:p>
        </w:tc>
        <w:tc>
          <w:tcPr>
            <w:tcW w:w="874" w:type="dxa"/>
            <w:tcBorders>
              <w:top w:val="nil"/>
              <w:left w:val="nil"/>
              <w:bottom w:val="nil"/>
              <w:right w:val="nil"/>
            </w:tcBorders>
          </w:tcPr>
          <w:p w14:paraId="03D8439A"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538</w:t>
            </w:r>
          </w:p>
        </w:tc>
        <w:tc>
          <w:tcPr>
            <w:tcW w:w="859" w:type="dxa"/>
            <w:tcBorders>
              <w:top w:val="nil"/>
              <w:left w:val="nil"/>
              <w:bottom w:val="nil"/>
              <w:right w:val="nil"/>
            </w:tcBorders>
          </w:tcPr>
          <w:p w14:paraId="1AA63068"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84.6</w:t>
            </w:r>
          </w:p>
        </w:tc>
        <w:tc>
          <w:tcPr>
            <w:tcW w:w="1660" w:type="dxa"/>
            <w:tcBorders>
              <w:top w:val="nil"/>
              <w:left w:val="nil"/>
              <w:bottom w:val="nil"/>
              <w:right w:val="nil"/>
            </w:tcBorders>
          </w:tcPr>
          <w:p w14:paraId="749BC7DD" w14:textId="6E31671B"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(0.877 – 1.498)</w:t>
            </w:r>
          </w:p>
        </w:tc>
        <w:tc>
          <w:tcPr>
            <w:tcW w:w="1185" w:type="dxa"/>
            <w:tcBorders>
              <w:top w:val="nil"/>
              <w:left w:val="nil"/>
              <w:bottom w:val="nil"/>
              <w:right w:val="nil"/>
            </w:tcBorders>
          </w:tcPr>
          <w:p w14:paraId="174F716F" w14:textId="77777777" w:rsidR="00494C66" w:rsidRPr="00492106" w:rsidRDefault="00494C66" w:rsidP="00494C66">
            <w:pPr>
              <w:spacing w:after="0" w:line="240" w:lineRule="auto"/>
              <w:jc w:val="center"/>
              <w:rPr>
                <w:rFonts w:ascii="Arial" w:eastAsia="MS Mincho" w:hAnsi="Arial" w:cs="Arial"/>
              </w:rPr>
            </w:pPr>
          </w:p>
        </w:tc>
      </w:tr>
      <w:tr w:rsidR="00494C66" w:rsidRPr="00492106" w14:paraId="30474DA4" w14:textId="77777777" w:rsidTr="00494C66">
        <w:trPr>
          <w:jc w:val="center"/>
        </w:trPr>
        <w:tc>
          <w:tcPr>
            <w:tcW w:w="2135" w:type="dxa"/>
            <w:tcBorders>
              <w:top w:val="nil"/>
              <w:left w:val="nil"/>
              <w:bottom w:val="nil"/>
              <w:right w:val="nil"/>
            </w:tcBorders>
          </w:tcPr>
          <w:p w14:paraId="127D614D" w14:textId="77777777" w:rsidR="00494C66" w:rsidRPr="00492106" w:rsidRDefault="00494C66" w:rsidP="00494C66">
            <w:pPr>
              <w:spacing w:after="0" w:line="240" w:lineRule="auto"/>
              <w:rPr>
                <w:rFonts w:ascii="Arial" w:eastAsia="MS Mincho" w:hAnsi="Arial" w:cs="Arial"/>
              </w:rPr>
            </w:pPr>
            <w:r w:rsidRPr="00492106">
              <w:rPr>
                <w:rFonts w:ascii="Arial" w:eastAsia="MS Mincho" w:hAnsi="Arial" w:cs="Arial"/>
              </w:rPr>
              <w:t>Exclusive breastfeeding</w:t>
            </w:r>
          </w:p>
        </w:tc>
        <w:tc>
          <w:tcPr>
            <w:tcW w:w="712" w:type="dxa"/>
            <w:tcBorders>
              <w:top w:val="nil"/>
              <w:left w:val="nil"/>
              <w:bottom w:val="nil"/>
              <w:right w:val="nil"/>
            </w:tcBorders>
          </w:tcPr>
          <w:p w14:paraId="6F0A926C" w14:textId="77777777" w:rsidR="00494C66" w:rsidRPr="00492106" w:rsidRDefault="00494C66" w:rsidP="00494C66">
            <w:pPr>
              <w:spacing w:after="0" w:line="240" w:lineRule="auto"/>
              <w:jc w:val="center"/>
              <w:rPr>
                <w:rFonts w:ascii="Arial" w:eastAsia="MS Mincho" w:hAnsi="Arial" w:cs="Arial"/>
              </w:rPr>
            </w:pPr>
          </w:p>
        </w:tc>
        <w:tc>
          <w:tcPr>
            <w:tcW w:w="1079" w:type="dxa"/>
            <w:tcBorders>
              <w:top w:val="nil"/>
              <w:left w:val="nil"/>
              <w:bottom w:val="nil"/>
              <w:right w:val="nil"/>
            </w:tcBorders>
          </w:tcPr>
          <w:p w14:paraId="03A03612" w14:textId="77777777" w:rsidR="00494C66" w:rsidRPr="00492106" w:rsidRDefault="00494C66" w:rsidP="00494C66">
            <w:pPr>
              <w:spacing w:after="0" w:line="240" w:lineRule="auto"/>
              <w:jc w:val="center"/>
              <w:rPr>
                <w:rFonts w:ascii="Arial" w:eastAsia="MS Mincho" w:hAnsi="Arial" w:cs="Arial"/>
              </w:rPr>
            </w:pPr>
          </w:p>
        </w:tc>
        <w:tc>
          <w:tcPr>
            <w:tcW w:w="874" w:type="dxa"/>
            <w:tcBorders>
              <w:top w:val="nil"/>
              <w:left w:val="nil"/>
              <w:bottom w:val="nil"/>
              <w:right w:val="nil"/>
            </w:tcBorders>
          </w:tcPr>
          <w:p w14:paraId="3446F554" w14:textId="77777777" w:rsidR="00494C66" w:rsidRPr="00492106" w:rsidRDefault="00494C66" w:rsidP="00494C66">
            <w:pPr>
              <w:spacing w:after="0" w:line="240" w:lineRule="auto"/>
              <w:jc w:val="center"/>
              <w:rPr>
                <w:rFonts w:ascii="Arial" w:eastAsia="MS Mincho" w:hAnsi="Arial" w:cs="Arial"/>
              </w:rPr>
            </w:pPr>
          </w:p>
        </w:tc>
        <w:tc>
          <w:tcPr>
            <w:tcW w:w="859" w:type="dxa"/>
            <w:tcBorders>
              <w:top w:val="nil"/>
              <w:left w:val="nil"/>
              <w:bottom w:val="nil"/>
              <w:right w:val="nil"/>
            </w:tcBorders>
          </w:tcPr>
          <w:p w14:paraId="213E787A" w14:textId="77777777" w:rsidR="00494C66" w:rsidRPr="00492106" w:rsidRDefault="00494C66" w:rsidP="00494C66">
            <w:pPr>
              <w:spacing w:after="0" w:line="240" w:lineRule="auto"/>
              <w:jc w:val="center"/>
              <w:rPr>
                <w:rFonts w:ascii="Arial" w:eastAsia="MS Mincho" w:hAnsi="Arial" w:cs="Arial"/>
              </w:rPr>
            </w:pPr>
          </w:p>
        </w:tc>
        <w:tc>
          <w:tcPr>
            <w:tcW w:w="1660" w:type="dxa"/>
            <w:tcBorders>
              <w:top w:val="nil"/>
              <w:left w:val="nil"/>
              <w:bottom w:val="nil"/>
              <w:right w:val="nil"/>
            </w:tcBorders>
          </w:tcPr>
          <w:p w14:paraId="74A09571" w14:textId="77777777" w:rsidR="00494C66" w:rsidRPr="00494C66" w:rsidRDefault="00494C66" w:rsidP="00494C66">
            <w:pPr>
              <w:spacing w:after="0" w:line="240" w:lineRule="auto"/>
              <w:jc w:val="center"/>
              <w:rPr>
                <w:rFonts w:ascii="Arial" w:eastAsia="MS Mincho" w:hAnsi="Arial" w:cs="Arial"/>
              </w:rPr>
            </w:pPr>
          </w:p>
        </w:tc>
        <w:tc>
          <w:tcPr>
            <w:tcW w:w="1185" w:type="dxa"/>
            <w:tcBorders>
              <w:top w:val="nil"/>
              <w:left w:val="nil"/>
              <w:bottom w:val="nil"/>
              <w:right w:val="nil"/>
            </w:tcBorders>
          </w:tcPr>
          <w:p w14:paraId="4F9207EF" w14:textId="77777777" w:rsidR="00494C66" w:rsidRPr="00492106" w:rsidRDefault="00494C66" w:rsidP="00494C66">
            <w:pPr>
              <w:spacing w:after="0" w:line="240" w:lineRule="auto"/>
              <w:jc w:val="center"/>
              <w:rPr>
                <w:rFonts w:ascii="Arial" w:eastAsia="MS Mincho" w:hAnsi="Arial" w:cs="Arial"/>
              </w:rPr>
            </w:pPr>
          </w:p>
        </w:tc>
      </w:tr>
      <w:tr w:rsidR="00494C66" w:rsidRPr="00492106" w14:paraId="6EE3E75E" w14:textId="77777777" w:rsidTr="00494C66">
        <w:trPr>
          <w:jc w:val="center"/>
        </w:trPr>
        <w:tc>
          <w:tcPr>
            <w:tcW w:w="2135" w:type="dxa"/>
            <w:tcBorders>
              <w:top w:val="nil"/>
              <w:left w:val="nil"/>
              <w:bottom w:val="nil"/>
              <w:right w:val="nil"/>
            </w:tcBorders>
          </w:tcPr>
          <w:p w14:paraId="3A7A630C"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Non Exclusive</w:t>
            </w:r>
          </w:p>
        </w:tc>
        <w:tc>
          <w:tcPr>
            <w:tcW w:w="712" w:type="dxa"/>
            <w:tcBorders>
              <w:top w:val="nil"/>
              <w:left w:val="nil"/>
              <w:bottom w:val="nil"/>
              <w:right w:val="nil"/>
            </w:tcBorders>
          </w:tcPr>
          <w:p w14:paraId="04368E5E"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153</w:t>
            </w:r>
          </w:p>
        </w:tc>
        <w:tc>
          <w:tcPr>
            <w:tcW w:w="1079" w:type="dxa"/>
            <w:tcBorders>
              <w:top w:val="nil"/>
              <w:left w:val="nil"/>
              <w:bottom w:val="nil"/>
              <w:right w:val="nil"/>
            </w:tcBorders>
          </w:tcPr>
          <w:p w14:paraId="3C0058CE"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15.5</w:t>
            </w:r>
          </w:p>
        </w:tc>
        <w:tc>
          <w:tcPr>
            <w:tcW w:w="874" w:type="dxa"/>
            <w:tcBorders>
              <w:top w:val="nil"/>
              <w:left w:val="nil"/>
              <w:bottom w:val="nil"/>
              <w:right w:val="nil"/>
            </w:tcBorders>
          </w:tcPr>
          <w:p w14:paraId="745BBA90"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831</w:t>
            </w:r>
          </w:p>
        </w:tc>
        <w:tc>
          <w:tcPr>
            <w:tcW w:w="859" w:type="dxa"/>
            <w:tcBorders>
              <w:top w:val="nil"/>
              <w:left w:val="nil"/>
              <w:bottom w:val="nil"/>
              <w:right w:val="nil"/>
            </w:tcBorders>
          </w:tcPr>
          <w:p w14:paraId="7E111D72"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84.5</w:t>
            </w:r>
          </w:p>
        </w:tc>
        <w:tc>
          <w:tcPr>
            <w:tcW w:w="1660" w:type="dxa"/>
            <w:tcBorders>
              <w:top w:val="nil"/>
              <w:left w:val="nil"/>
              <w:bottom w:val="nil"/>
              <w:right w:val="nil"/>
            </w:tcBorders>
          </w:tcPr>
          <w:p w14:paraId="71A3976C" w14:textId="4E37A748"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0.851</w:t>
            </w:r>
          </w:p>
        </w:tc>
        <w:tc>
          <w:tcPr>
            <w:tcW w:w="1185" w:type="dxa"/>
            <w:tcBorders>
              <w:top w:val="nil"/>
              <w:left w:val="nil"/>
              <w:bottom w:val="nil"/>
              <w:right w:val="nil"/>
            </w:tcBorders>
          </w:tcPr>
          <w:p w14:paraId="2BF4F190" w14:textId="350F3C96" w:rsidR="00494C66" w:rsidRPr="00492106" w:rsidRDefault="00494C66" w:rsidP="00494C66">
            <w:pPr>
              <w:spacing w:after="0" w:line="240" w:lineRule="auto"/>
              <w:jc w:val="center"/>
              <w:rPr>
                <w:rFonts w:ascii="Arial" w:eastAsia="MS Mincho" w:hAnsi="Arial" w:cs="Arial"/>
                <w:vertAlign w:val="superscript"/>
              </w:rPr>
            </w:pPr>
            <w:r w:rsidRPr="00492106">
              <w:rPr>
                <w:rFonts w:ascii="Arial" w:eastAsia="MS Mincho" w:hAnsi="Arial" w:cs="Arial"/>
              </w:rPr>
              <w:t>0.189</w:t>
            </w:r>
          </w:p>
        </w:tc>
      </w:tr>
      <w:tr w:rsidR="00494C66" w:rsidRPr="00492106" w14:paraId="67430594" w14:textId="77777777" w:rsidTr="00494C66">
        <w:trPr>
          <w:jc w:val="center"/>
        </w:trPr>
        <w:tc>
          <w:tcPr>
            <w:tcW w:w="2135" w:type="dxa"/>
            <w:tcBorders>
              <w:top w:val="nil"/>
              <w:left w:val="nil"/>
              <w:bottom w:val="nil"/>
              <w:right w:val="nil"/>
            </w:tcBorders>
          </w:tcPr>
          <w:p w14:paraId="382FFAFC"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Exclusive</w:t>
            </w:r>
          </w:p>
        </w:tc>
        <w:tc>
          <w:tcPr>
            <w:tcW w:w="712" w:type="dxa"/>
            <w:tcBorders>
              <w:top w:val="nil"/>
              <w:left w:val="nil"/>
              <w:bottom w:val="nil"/>
              <w:right w:val="nil"/>
            </w:tcBorders>
          </w:tcPr>
          <w:p w14:paraId="23BC5683"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168</w:t>
            </w:r>
          </w:p>
        </w:tc>
        <w:tc>
          <w:tcPr>
            <w:tcW w:w="1079" w:type="dxa"/>
            <w:tcBorders>
              <w:top w:val="nil"/>
              <w:left w:val="nil"/>
              <w:bottom w:val="nil"/>
              <w:right w:val="nil"/>
            </w:tcBorders>
          </w:tcPr>
          <w:p w14:paraId="0B4FA594"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17.8</w:t>
            </w:r>
          </w:p>
        </w:tc>
        <w:tc>
          <w:tcPr>
            <w:tcW w:w="874" w:type="dxa"/>
            <w:tcBorders>
              <w:top w:val="nil"/>
              <w:left w:val="nil"/>
              <w:bottom w:val="nil"/>
              <w:right w:val="nil"/>
            </w:tcBorders>
          </w:tcPr>
          <w:p w14:paraId="098FC4E8"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777</w:t>
            </w:r>
          </w:p>
        </w:tc>
        <w:tc>
          <w:tcPr>
            <w:tcW w:w="859" w:type="dxa"/>
            <w:tcBorders>
              <w:top w:val="nil"/>
              <w:left w:val="nil"/>
              <w:bottom w:val="nil"/>
              <w:right w:val="nil"/>
            </w:tcBorders>
          </w:tcPr>
          <w:p w14:paraId="6B81BD37"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82.2</w:t>
            </w:r>
          </w:p>
        </w:tc>
        <w:tc>
          <w:tcPr>
            <w:tcW w:w="1660" w:type="dxa"/>
            <w:tcBorders>
              <w:top w:val="nil"/>
              <w:left w:val="nil"/>
              <w:bottom w:val="nil"/>
              <w:right w:val="nil"/>
            </w:tcBorders>
          </w:tcPr>
          <w:p w14:paraId="6B44C503" w14:textId="10B5BEC2"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(0.666 – 1.090)</w:t>
            </w:r>
          </w:p>
        </w:tc>
        <w:tc>
          <w:tcPr>
            <w:tcW w:w="1185" w:type="dxa"/>
            <w:tcBorders>
              <w:top w:val="nil"/>
              <w:left w:val="nil"/>
              <w:bottom w:val="nil"/>
              <w:right w:val="nil"/>
            </w:tcBorders>
          </w:tcPr>
          <w:p w14:paraId="484702CB" w14:textId="77777777" w:rsidR="00494C66" w:rsidRPr="00492106" w:rsidRDefault="00494C66" w:rsidP="00494C66">
            <w:pPr>
              <w:spacing w:after="0" w:line="240" w:lineRule="auto"/>
              <w:jc w:val="center"/>
              <w:rPr>
                <w:rFonts w:ascii="Arial" w:eastAsia="MS Mincho" w:hAnsi="Arial" w:cs="Arial"/>
              </w:rPr>
            </w:pPr>
          </w:p>
        </w:tc>
      </w:tr>
      <w:tr w:rsidR="00494C66" w:rsidRPr="00492106" w14:paraId="0901E197" w14:textId="77777777" w:rsidTr="00494C66">
        <w:trPr>
          <w:jc w:val="center"/>
        </w:trPr>
        <w:tc>
          <w:tcPr>
            <w:tcW w:w="2135" w:type="dxa"/>
            <w:tcBorders>
              <w:top w:val="nil"/>
              <w:left w:val="nil"/>
              <w:bottom w:val="nil"/>
              <w:right w:val="nil"/>
            </w:tcBorders>
          </w:tcPr>
          <w:p w14:paraId="1139E4D2" w14:textId="77777777" w:rsidR="00494C66" w:rsidRPr="00492106" w:rsidRDefault="00494C66" w:rsidP="00494C66">
            <w:pPr>
              <w:spacing w:after="0" w:line="240" w:lineRule="auto"/>
              <w:rPr>
                <w:rFonts w:ascii="Arial" w:eastAsia="MS Mincho" w:hAnsi="Arial" w:cs="Arial"/>
              </w:rPr>
            </w:pPr>
            <w:r w:rsidRPr="00492106">
              <w:rPr>
                <w:rFonts w:ascii="Arial" w:eastAsia="MS Mincho" w:hAnsi="Arial" w:cs="Arial"/>
              </w:rPr>
              <w:t>Growth Monitoring</w:t>
            </w:r>
          </w:p>
        </w:tc>
        <w:tc>
          <w:tcPr>
            <w:tcW w:w="712" w:type="dxa"/>
            <w:tcBorders>
              <w:top w:val="nil"/>
              <w:left w:val="nil"/>
              <w:bottom w:val="nil"/>
              <w:right w:val="nil"/>
            </w:tcBorders>
          </w:tcPr>
          <w:p w14:paraId="750C0EE6" w14:textId="77777777" w:rsidR="00494C66" w:rsidRPr="00492106" w:rsidRDefault="00494C66" w:rsidP="00494C66">
            <w:pPr>
              <w:spacing w:after="0" w:line="240" w:lineRule="auto"/>
              <w:jc w:val="center"/>
              <w:rPr>
                <w:rFonts w:ascii="Arial" w:eastAsia="MS Mincho" w:hAnsi="Arial" w:cs="Arial"/>
              </w:rPr>
            </w:pPr>
          </w:p>
        </w:tc>
        <w:tc>
          <w:tcPr>
            <w:tcW w:w="1079" w:type="dxa"/>
            <w:tcBorders>
              <w:top w:val="nil"/>
              <w:left w:val="nil"/>
              <w:bottom w:val="nil"/>
              <w:right w:val="nil"/>
            </w:tcBorders>
          </w:tcPr>
          <w:p w14:paraId="6AA479C0" w14:textId="77777777" w:rsidR="00494C66" w:rsidRPr="00492106" w:rsidRDefault="00494C66" w:rsidP="00494C66">
            <w:pPr>
              <w:spacing w:after="0" w:line="240" w:lineRule="auto"/>
              <w:jc w:val="center"/>
              <w:rPr>
                <w:rFonts w:ascii="Arial" w:eastAsia="MS Mincho" w:hAnsi="Arial" w:cs="Arial"/>
              </w:rPr>
            </w:pPr>
          </w:p>
        </w:tc>
        <w:tc>
          <w:tcPr>
            <w:tcW w:w="874" w:type="dxa"/>
            <w:tcBorders>
              <w:top w:val="nil"/>
              <w:left w:val="nil"/>
              <w:bottom w:val="nil"/>
              <w:right w:val="nil"/>
            </w:tcBorders>
          </w:tcPr>
          <w:p w14:paraId="42DF9FAE" w14:textId="77777777" w:rsidR="00494C66" w:rsidRPr="00492106" w:rsidRDefault="00494C66" w:rsidP="00494C66">
            <w:pPr>
              <w:spacing w:after="0" w:line="240" w:lineRule="auto"/>
              <w:jc w:val="center"/>
              <w:rPr>
                <w:rFonts w:ascii="Arial" w:eastAsia="MS Mincho" w:hAnsi="Arial" w:cs="Arial"/>
              </w:rPr>
            </w:pPr>
          </w:p>
        </w:tc>
        <w:tc>
          <w:tcPr>
            <w:tcW w:w="859" w:type="dxa"/>
            <w:tcBorders>
              <w:top w:val="nil"/>
              <w:left w:val="nil"/>
              <w:bottom w:val="nil"/>
              <w:right w:val="nil"/>
            </w:tcBorders>
          </w:tcPr>
          <w:p w14:paraId="17FDA364" w14:textId="77777777" w:rsidR="00494C66" w:rsidRPr="00492106" w:rsidRDefault="00494C66" w:rsidP="00494C66">
            <w:pPr>
              <w:spacing w:after="0" w:line="240" w:lineRule="auto"/>
              <w:jc w:val="center"/>
              <w:rPr>
                <w:rFonts w:ascii="Arial" w:eastAsia="MS Mincho" w:hAnsi="Arial" w:cs="Arial"/>
              </w:rPr>
            </w:pPr>
          </w:p>
        </w:tc>
        <w:tc>
          <w:tcPr>
            <w:tcW w:w="1660" w:type="dxa"/>
            <w:tcBorders>
              <w:top w:val="nil"/>
              <w:left w:val="nil"/>
              <w:bottom w:val="nil"/>
              <w:right w:val="nil"/>
            </w:tcBorders>
          </w:tcPr>
          <w:p w14:paraId="7871EA3F" w14:textId="77777777" w:rsidR="00494C66" w:rsidRPr="00494C66" w:rsidRDefault="00494C66" w:rsidP="00494C66">
            <w:pPr>
              <w:spacing w:after="0" w:line="240" w:lineRule="auto"/>
              <w:jc w:val="center"/>
              <w:rPr>
                <w:rFonts w:ascii="Arial" w:eastAsia="MS Mincho" w:hAnsi="Arial" w:cs="Arial"/>
              </w:rPr>
            </w:pPr>
          </w:p>
        </w:tc>
        <w:tc>
          <w:tcPr>
            <w:tcW w:w="1185" w:type="dxa"/>
            <w:tcBorders>
              <w:top w:val="nil"/>
              <w:left w:val="nil"/>
              <w:bottom w:val="nil"/>
              <w:right w:val="nil"/>
            </w:tcBorders>
          </w:tcPr>
          <w:p w14:paraId="4534788F" w14:textId="77777777" w:rsidR="00494C66" w:rsidRPr="00492106" w:rsidRDefault="00494C66" w:rsidP="00494C66">
            <w:pPr>
              <w:spacing w:after="0" w:line="240" w:lineRule="auto"/>
              <w:jc w:val="center"/>
              <w:rPr>
                <w:rFonts w:ascii="Arial" w:eastAsia="MS Mincho" w:hAnsi="Arial" w:cs="Arial"/>
              </w:rPr>
            </w:pPr>
          </w:p>
        </w:tc>
      </w:tr>
      <w:tr w:rsidR="00494C66" w:rsidRPr="00492106" w14:paraId="38FA7D9D" w14:textId="77777777" w:rsidTr="00494C66">
        <w:trPr>
          <w:jc w:val="center"/>
        </w:trPr>
        <w:tc>
          <w:tcPr>
            <w:tcW w:w="2135" w:type="dxa"/>
            <w:tcBorders>
              <w:top w:val="nil"/>
              <w:left w:val="nil"/>
              <w:bottom w:val="nil"/>
              <w:right w:val="nil"/>
            </w:tcBorders>
          </w:tcPr>
          <w:p w14:paraId="283816F4"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Not Routine</w:t>
            </w:r>
          </w:p>
        </w:tc>
        <w:tc>
          <w:tcPr>
            <w:tcW w:w="712" w:type="dxa"/>
            <w:tcBorders>
              <w:top w:val="nil"/>
              <w:left w:val="nil"/>
              <w:bottom w:val="nil"/>
              <w:right w:val="nil"/>
            </w:tcBorders>
          </w:tcPr>
          <w:p w14:paraId="0AD551DB"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147</w:t>
            </w:r>
          </w:p>
        </w:tc>
        <w:tc>
          <w:tcPr>
            <w:tcW w:w="1079" w:type="dxa"/>
            <w:tcBorders>
              <w:top w:val="nil"/>
              <w:left w:val="nil"/>
              <w:bottom w:val="nil"/>
              <w:right w:val="nil"/>
            </w:tcBorders>
          </w:tcPr>
          <w:p w14:paraId="34B1EF6A"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17.3</w:t>
            </w:r>
          </w:p>
        </w:tc>
        <w:tc>
          <w:tcPr>
            <w:tcW w:w="874" w:type="dxa"/>
            <w:tcBorders>
              <w:top w:val="nil"/>
              <w:left w:val="nil"/>
              <w:bottom w:val="nil"/>
              <w:right w:val="nil"/>
            </w:tcBorders>
          </w:tcPr>
          <w:p w14:paraId="293A7978"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704</w:t>
            </w:r>
          </w:p>
        </w:tc>
        <w:tc>
          <w:tcPr>
            <w:tcW w:w="859" w:type="dxa"/>
            <w:tcBorders>
              <w:top w:val="nil"/>
              <w:left w:val="nil"/>
              <w:bottom w:val="nil"/>
              <w:right w:val="nil"/>
            </w:tcBorders>
          </w:tcPr>
          <w:p w14:paraId="4352C0C4"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82.7</w:t>
            </w:r>
          </w:p>
        </w:tc>
        <w:tc>
          <w:tcPr>
            <w:tcW w:w="1660" w:type="dxa"/>
            <w:tcBorders>
              <w:top w:val="nil"/>
              <w:left w:val="nil"/>
              <w:bottom w:val="nil"/>
              <w:right w:val="nil"/>
            </w:tcBorders>
          </w:tcPr>
          <w:p w14:paraId="58BA06AE" w14:textId="394C700E"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1.084</w:t>
            </w:r>
          </w:p>
        </w:tc>
        <w:tc>
          <w:tcPr>
            <w:tcW w:w="1185" w:type="dxa"/>
            <w:tcBorders>
              <w:top w:val="nil"/>
              <w:left w:val="nil"/>
              <w:bottom w:val="nil"/>
              <w:right w:val="nil"/>
            </w:tcBorders>
          </w:tcPr>
          <w:p w14:paraId="739F1521"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0.507</w:t>
            </w:r>
          </w:p>
        </w:tc>
      </w:tr>
      <w:tr w:rsidR="00494C66" w:rsidRPr="00492106" w14:paraId="3E355B34" w14:textId="77777777" w:rsidTr="00494C66">
        <w:trPr>
          <w:jc w:val="center"/>
        </w:trPr>
        <w:tc>
          <w:tcPr>
            <w:tcW w:w="2135" w:type="dxa"/>
            <w:tcBorders>
              <w:top w:val="nil"/>
              <w:left w:val="nil"/>
              <w:bottom w:val="nil"/>
              <w:right w:val="nil"/>
            </w:tcBorders>
          </w:tcPr>
          <w:p w14:paraId="7CB1B5CA"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Routine</w:t>
            </w:r>
          </w:p>
        </w:tc>
        <w:tc>
          <w:tcPr>
            <w:tcW w:w="712" w:type="dxa"/>
            <w:tcBorders>
              <w:top w:val="nil"/>
              <w:left w:val="nil"/>
              <w:bottom w:val="nil"/>
              <w:right w:val="nil"/>
            </w:tcBorders>
          </w:tcPr>
          <w:p w14:paraId="48980AB5"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174</w:t>
            </w:r>
          </w:p>
        </w:tc>
        <w:tc>
          <w:tcPr>
            <w:tcW w:w="1079" w:type="dxa"/>
            <w:tcBorders>
              <w:top w:val="nil"/>
              <w:left w:val="nil"/>
              <w:bottom w:val="nil"/>
              <w:right w:val="nil"/>
            </w:tcBorders>
          </w:tcPr>
          <w:p w14:paraId="0BDF9334"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16.1</w:t>
            </w:r>
          </w:p>
        </w:tc>
        <w:tc>
          <w:tcPr>
            <w:tcW w:w="874" w:type="dxa"/>
            <w:tcBorders>
              <w:top w:val="nil"/>
              <w:left w:val="nil"/>
              <w:bottom w:val="nil"/>
              <w:right w:val="nil"/>
            </w:tcBorders>
          </w:tcPr>
          <w:p w14:paraId="1B1EF661"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904</w:t>
            </w:r>
          </w:p>
        </w:tc>
        <w:tc>
          <w:tcPr>
            <w:tcW w:w="859" w:type="dxa"/>
            <w:tcBorders>
              <w:top w:val="nil"/>
              <w:left w:val="nil"/>
              <w:bottom w:val="nil"/>
              <w:right w:val="nil"/>
            </w:tcBorders>
          </w:tcPr>
          <w:p w14:paraId="0DDE9B77"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83.9</w:t>
            </w:r>
          </w:p>
        </w:tc>
        <w:tc>
          <w:tcPr>
            <w:tcW w:w="1660" w:type="dxa"/>
            <w:tcBorders>
              <w:top w:val="nil"/>
              <w:left w:val="nil"/>
              <w:bottom w:val="nil"/>
              <w:right w:val="nil"/>
            </w:tcBorders>
          </w:tcPr>
          <w:p w14:paraId="2FFEEEDC" w14:textId="24972041"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(0.846 – 1.389)</w:t>
            </w:r>
          </w:p>
        </w:tc>
        <w:tc>
          <w:tcPr>
            <w:tcW w:w="1185" w:type="dxa"/>
            <w:tcBorders>
              <w:top w:val="nil"/>
              <w:left w:val="nil"/>
              <w:bottom w:val="nil"/>
              <w:right w:val="nil"/>
            </w:tcBorders>
          </w:tcPr>
          <w:p w14:paraId="621E4476" w14:textId="77777777" w:rsidR="00494C66" w:rsidRPr="00492106" w:rsidRDefault="00494C66" w:rsidP="00494C66">
            <w:pPr>
              <w:spacing w:after="0" w:line="240" w:lineRule="auto"/>
              <w:jc w:val="center"/>
              <w:rPr>
                <w:rFonts w:ascii="Arial" w:eastAsia="MS Mincho" w:hAnsi="Arial" w:cs="Arial"/>
              </w:rPr>
            </w:pPr>
          </w:p>
        </w:tc>
      </w:tr>
      <w:tr w:rsidR="00494C66" w:rsidRPr="00492106" w14:paraId="3A5D020C" w14:textId="77777777" w:rsidTr="00494C66">
        <w:trPr>
          <w:jc w:val="center"/>
        </w:trPr>
        <w:tc>
          <w:tcPr>
            <w:tcW w:w="2135" w:type="dxa"/>
            <w:tcBorders>
              <w:top w:val="nil"/>
              <w:left w:val="nil"/>
              <w:bottom w:val="nil"/>
              <w:right w:val="nil"/>
            </w:tcBorders>
          </w:tcPr>
          <w:p w14:paraId="1FF8A8CB" w14:textId="77777777" w:rsidR="00494C66" w:rsidRPr="00492106" w:rsidRDefault="00494C66" w:rsidP="00494C66">
            <w:pPr>
              <w:spacing w:after="0" w:line="240" w:lineRule="auto"/>
              <w:rPr>
                <w:rFonts w:ascii="Arial" w:eastAsia="MS Mincho" w:hAnsi="Arial" w:cs="Arial"/>
              </w:rPr>
            </w:pPr>
            <w:r w:rsidRPr="00492106">
              <w:rPr>
                <w:rFonts w:ascii="Arial" w:eastAsia="MS Mincho" w:hAnsi="Arial" w:cs="Arial"/>
              </w:rPr>
              <w:t>Primary Immunization</w:t>
            </w:r>
          </w:p>
        </w:tc>
        <w:tc>
          <w:tcPr>
            <w:tcW w:w="712" w:type="dxa"/>
            <w:tcBorders>
              <w:top w:val="nil"/>
              <w:left w:val="nil"/>
              <w:bottom w:val="nil"/>
              <w:right w:val="nil"/>
            </w:tcBorders>
          </w:tcPr>
          <w:p w14:paraId="2170317D" w14:textId="77777777" w:rsidR="00494C66" w:rsidRPr="00492106" w:rsidRDefault="00494C66" w:rsidP="00494C66">
            <w:pPr>
              <w:spacing w:after="0" w:line="240" w:lineRule="auto"/>
              <w:jc w:val="center"/>
              <w:rPr>
                <w:rFonts w:ascii="Arial" w:eastAsia="MS Mincho" w:hAnsi="Arial" w:cs="Arial"/>
              </w:rPr>
            </w:pPr>
          </w:p>
        </w:tc>
        <w:tc>
          <w:tcPr>
            <w:tcW w:w="1079" w:type="dxa"/>
            <w:tcBorders>
              <w:top w:val="nil"/>
              <w:left w:val="nil"/>
              <w:bottom w:val="nil"/>
              <w:right w:val="nil"/>
            </w:tcBorders>
          </w:tcPr>
          <w:p w14:paraId="682755A9" w14:textId="77777777" w:rsidR="00494C66" w:rsidRPr="00492106" w:rsidRDefault="00494C66" w:rsidP="00494C66">
            <w:pPr>
              <w:spacing w:after="0" w:line="240" w:lineRule="auto"/>
              <w:jc w:val="center"/>
              <w:rPr>
                <w:rFonts w:ascii="Arial" w:eastAsia="MS Mincho" w:hAnsi="Arial" w:cs="Arial"/>
              </w:rPr>
            </w:pPr>
          </w:p>
        </w:tc>
        <w:tc>
          <w:tcPr>
            <w:tcW w:w="874" w:type="dxa"/>
            <w:tcBorders>
              <w:top w:val="nil"/>
              <w:left w:val="nil"/>
              <w:bottom w:val="nil"/>
              <w:right w:val="nil"/>
            </w:tcBorders>
          </w:tcPr>
          <w:p w14:paraId="480E18A6" w14:textId="77777777" w:rsidR="00494C66" w:rsidRPr="00492106" w:rsidRDefault="00494C66" w:rsidP="00494C66">
            <w:pPr>
              <w:spacing w:after="0" w:line="240" w:lineRule="auto"/>
              <w:jc w:val="center"/>
              <w:rPr>
                <w:rFonts w:ascii="Arial" w:eastAsia="MS Mincho" w:hAnsi="Arial" w:cs="Arial"/>
              </w:rPr>
            </w:pPr>
          </w:p>
        </w:tc>
        <w:tc>
          <w:tcPr>
            <w:tcW w:w="859" w:type="dxa"/>
            <w:tcBorders>
              <w:top w:val="nil"/>
              <w:left w:val="nil"/>
              <w:bottom w:val="nil"/>
              <w:right w:val="nil"/>
            </w:tcBorders>
          </w:tcPr>
          <w:p w14:paraId="5FD4737E" w14:textId="77777777" w:rsidR="00494C66" w:rsidRPr="00492106" w:rsidRDefault="00494C66" w:rsidP="00494C66">
            <w:pPr>
              <w:spacing w:after="0" w:line="240" w:lineRule="auto"/>
              <w:jc w:val="center"/>
              <w:rPr>
                <w:rFonts w:ascii="Arial" w:eastAsia="MS Mincho" w:hAnsi="Arial" w:cs="Arial"/>
              </w:rPr>
            </w:pPr>
          </w:p>
        </w:tc>
        <w:tc>
          <w:tcPr>
            <w:tcW w:w="1660" w:type="dxa"/>
            <w:tcBorders>
              <w:top w:val="nil"/>
              <w:left w:val="nil"/>
              <w:bottom w:val="nil"/>
              <w:right w:val="nil"/>
            </w:tcBorders>
          </w:tcPr>
          <w:p w14:paraId="745F84C8" w14:textId="77777777" w:rsidR="00494C66" w:rsidRPr="00494C66" w:rsidRDefault="00494C66" w:rsidP="00494C66">
            <w:pPr>
              <w:spacing w:after="0" w:line="240" w:lineRule="auto"/>
              <w:jc w:val="center"/>
              <w:rPr>
                <w:rFonts w:ascii="Arial" w:eastAsia="MS Mincho" w:hAnsi="Arial" w:cs="Arial"/>
              </w:rPr>
            </w:pPr>
          </w:p>
        </w:tc>
        <w:tc>
          <w:tcPr>
            <w:tcW w:w="1185" w:type="dxa"/>
            <w:tcBorders>
              <w:top w:val="nil"/>
              <w:left w:val="nil"/>
              <w:bottom w:val="nil"/>
              <w:right w:val="nil"/>
            </w:tcBorders>
          </w:tcPr>
          <w:p w14:paraId="0F75EEF6" w14:textId="77777777" w:rsidR="00494C66" w:rsidRPr="00492106" w:rsidRDefault="00494C66" w:rsidP="00494C66">
            <w:pPr>
              <w:spacing w:after="0" w:line="240" w:lineRule="auto"/>
              <w:jc w:val="center"/>
              <w:rPr>
                <w:rFonts w:ascii="Arial" w:eastAsia="MS Mincho" w:hAnsi="Arial" w:cs="Arial"/>
              </w:rPr>
            </w:pPr>
          </w:p>
        </w:tc>
      </w:tr>
      <w:tr w:rsidR="00494C66" w:rsidRPr="00492106" w14:paraId="1230DF36" w14:textId="77777777" w:rsidTr="00494C66">
        <w:trPr>
          <w:jc w:val="center"/>
        </w:trPr>
        <w:tc>
          <w:tcPr>
            <w:tcW w:w="2135" w:type="dxa"/>
            <w:tcBorders>
              <w:top w:val="nil"/>
              <w:left w:val="nil"/>
              <w:bottom w:val="nil"/>
              <w:right w:val="nil"/>
            </w:tcBorders>
          </w:tcPr>
          <w:p w14:paraId="1D24666B"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Incomplete</w:t>
            </w:r>
          </w:p>
        </w:tc>
        <w:tc>
          <w:tcPr>
            <w:tcW w:w="712" w:type="dxa"/>
            <w:tcBorders>
              <w:top w:val="nil"/>
              <w:left w:val="nil"/>
              <w:bottom w:val="nil"/>
              <w:right w:val="nil"/>
            </w:tcBorders>
          </w:tcPr>
          <w:p w14:paraId="1879EB78"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195</w:t>
            </w:r>
          </w:p>
        </w:tc>
        <w:tc>
          <w:tcPr>
            <w:tcW w:w="1079" w:type="dxa"/>
            <w:tcBorders>
              <w:top w:val="nil"/>
              <w:left w:val="nil"/>
              <w:bottom w:val="nil"/>
              <w:right w:val="nil"/>
            </w:tcBorders>
          </w:tcPr>
          <w:p w14:paraId="184B10D8"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18.7</w:t>
            </w:r>
          </w:p>
        </w:tc>
        <w:tc>
          <w:tcPr>
            <w:tcW w:w="874" w:type="dxa"/>
            <w:tcBorders>
              <w:top w:val="nil"/>
              <w:left w:val="nil"/>
              <w:bottom w:val="nil"/>
              <w:right w:val="nil"/>
            </w:tcBorders>
          </w:tcPr>
          <w:p w14:paraId="12D1F56E"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847</w:t>
            </w:r>
          </w:p>
        </w:tc>
        <w:tc>
          <w:tcPr>
            <w:tcW w:w="859" w:type="dxa"/>
            <w:tcBorders>
              <w:top w:val="nil"/>
              <w:left w:val="nil"/>
              <w:bottom w:val="nil"/>
              <w:right w:val="nil"/>
            </w:tcBorders>
          </w:tcPr>
          <w:p w14:paraId="1BC130F7"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81.3</w:t>
            </w:r>
          </w:p>
        </w:tc>
        <w:tc>
          <w:tcPr>
            <w:tcW w:w="1660" w:type="dxa"/>
            <w:tcBorders>
              <w:top w:val="nil"/>
              <w:left w:val="nil"/>
              <w:bottom w:val="nil"/>
              <w:right w:val="nil"/>
            </w:tcBorders>
          </w:tcPr>
          <w:p w14:paraId="5D802974" w14:textId="74D52A8F"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1.390</w:t>
            </w:r>
          </w:p>
        </w:tc>
        <w:tc>
          <w:tcPr>
            <w:tcW w:w="1185" w:type="dxa"/>
            <w:tcBorders>
              <w:top w:val="nil"/>
              <w:left w:val="nil"/>
              <w:bottom w:val="nil"/>
              <w:right w:val="nil"/>
            </w:tcBorders>
          </w:tcPr>
          <w:p w14:paraId="18C32A0C"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0.008*</w:t>
            </w:r>
          </w:p>
        </w:tc>
      </w:tr>
      <w:tr w:rsidR="00494C66" w:rsidRPr="00492106" w14:paraId="5493C98E" w14:textId="77777777" w:rsidTr="00494C66">
        <w:trPr>
          <w:jc w:val="center"/>
        </w:trPr>
        <w:tc>
          <w:tcPr>
            <w:tcW w:w="2135" w:type="dxa"/>
            <w:tcBorders>
              <w:top w:val="nil"/>
              <w:left w:val="nil"/>
              <w:bottom w:val="nil"/>
              <w:right w:val="nil"/>
            </w:tcBorders>
          </w:tcPr>
          <w:p w14:paraId="77EFCDB7"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Complete</w:t>
            </w:r>
          </w:p>
        </w:tc>
        <w:tc>
          <w:tcPr>
            <w:tcW w:w="712" w:type="dxa"/>
            <w:tcBorders>
              <w:top w:val="nil"/>
              <w:left w:val="nil"/>
              <w:bottom w:val="nil"/>
              <w:right w:val="nil"/>
            </w:tcBorders>
          </w:tcPr>
          <w:p w14:paraId="45B3E10A"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126</w:t>
            </w:r>
          </w:p>
        </w:tc>
        <w:tc>
          <w:tcPr>
            <w:tcW w:w="1079" w:type="dxa"/>
            <w:tcBorders>
              <w:top w:val="nil"/>
              <w:left w:val="nil"/>
              <w:bottom w:val="nil"/>
              <w:right w:val="nil"/>
            </w:tcBorders>
          </w:tcPr>
          <w:p w14:paraId="20CD0457"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14.2</w:t>
            </w:r>
          </w:p>
        </w:tc>
        <w:tc>
          <w:tcPr>
            <w:tcW w:w="874" w:type="dxa"/>
            <w:tcBorders>
              <w:top w:val="nil"/>
              <w:left w:val="nil"/>
              <w:bottom w:val="nil"/>
              <w:right w:val="nil"/>
            </w:tcBorders>
          </w:tcPr>
          <w:p w14:paraId="742C50EC"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761</w:t>
            </w:r>
          </w:p>
        </w:tc>
        <w:tc>
          <w:tcPr>
            <w:tcW w:w="859" w:type="dxa"/>
            <w:tcBorders>
              <w:top w:val="nil"/>
              <w:left w:val="nil"/>
              <w:bottom w:val="nil"/>
              <w:right w:val="nil"/>
            </w:tcBorders>
          </w:tcPr>
          <w:p w14:paraId="63296D56"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85.8</w:t>
            </w:r>
          </w:p>
        </w:tc>
        <w:tc>
          <w:tcPr>
            <w:tcW w:w="1660" w:type="dxa"/>
            <w:tcBorders>
              <w:top w:val="nil"/>
              <w:left w:val="nil"/>
              <w:bottom w:val="nil"/>
              <w:right w:val="nil"/>
            </w:tcBorders>
          </w:tcPr>
          <w:p w14:paraId="475462F8" w14:textId="02153344"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(1.081 – 1.791)</w:t>
            </w:r>
          </w:p>
        </w:tc>
        <w:tc>
          <w:tcPr>
            <w:tcW w:w="1185" w:type="dxa"/>
            <w:tcBorders>
              <w:top w:val="nil"/>
              <w:left w:val="nil"/>
              <w:bottom w:val="nil"/>
              <w:right w:val="nil"/>
            </w:tcBorders>
          </w:tcPr>
          <w:p w14:paraId="0B659F0F" w14:textId="77777777" w:rsidR="00494C66" w:rsidRPr="00492106" w:rsidRDefault="00494C66" w:rsidP="00494C66">
            <w:pPr>
              <w:spacing w:after="0" w:line="240" w:lineRule="auto"/>
              <w:jc w:val="center"/>
              <w:rPr>
                <w:rFonts w:ascii="Arial" w:eastAsia="MS Mincho" w:hAnsi="Arial" w:cs="Arial"/>
              </w:rPr>
            </w:pPr>
          </w:p>
        </w:tc>
      </w:tr>
      <w:tr w:rsidR="00494C66" w:rsidRPr="00492106" w14:paraId="21E85582" w14:textId="77777777" w:rsidTr="00494C66">
        <w:trPr>
          <w:jc w:val="center"/>
        </w:trPr>
        <w:tc>
          <w:tcPr>
            <w:tcW w:w="2135" w:type="dxa"/>
            <w:tcBorders>
              <w:top w:val="nil"/>
              <w:left w:val="nil"/>
              <w:bottom w:val="nil"/>
              <w:right w:val="nil"/>
            </w:tcBorders>
          </w:tcPr>
          <w:p w14:paraId="44A834E3" w14:textId="77777777" w:rsidR="00494C66" w:rsidRPr="00492106" w:rsidRDefault="00494C66" w:rsidP="00494C66">
            <w:pPr>
              <w:spacing w:after="0" w:line="240" w:lineRule="auto"/>
              <w:rPr>
                <w:rFonts w:ascii="Arial" w:eastAsia="MS Mincho" w:hAnsi="Arial" w:cs="Arial"/>
              </w:rPr>
            </w:pPr>
            <w:r w:rsidRPr="00492106">
              <w:rPr>
                <w:rFonts w:ascii="Arial" w:eastAsia="MS Mincho" w:hAnsi="Arial" w:cs="Arial"/>
              </w:rPr>
              <w:t>Access to Drinking Water</w:t>
            </w:r>
          </w:p>
        </w:tc>
        <w:tc>
          <w:tcPr>
            <w:tcW w:w="712" w:type="dxa"/>
            <w:tcBorders>
              <w:top w:val="nil"/>
              <w:left w:val="nil"/>
              <w:bottom w:val="nil"/>
              <w:right w:val="nil"/>
            </w:tcBorders>
          </w:tcPr>
          <w:p w14:paraId="0401BC50" w14:textId="77777777" w:rsidR="00494C66" w:rsidRPr="00492106" w:rsidRDefault="00494C66" w:rsidP="00494C66">
            <w:pPr>
              <w:spacing w:after="0" w:line="240" w:lineRule="auto"/>
              <w:jc w:val="center"/>
              <w:rPr>
                <w:rFonts w:ascii="Arial" w:eastAsia="MS Mincho" w:hAnsi="Arial" w:cs="Arial"/>
              </w:rPr>
            </w:pPr>
          </w:p>
        </w:tc>
        <w:tc>
          <w:tcPr>
            <w:tcW w:w="1079" w:type="dxa"/>
            <w:tcBorders>
              <w:top w:val="nil"/>
              <w:left w:val="nil"/>
              <w:bottom w:val="nil"/>
              <w:right w:val="nil"/>
            </w:tcBorders>
          </w:tcPr>
          <w:p w14:paraId="51A2065A" w14:textId="77777777" w:rsidR="00494C66" w:rsidRPr="00492106" w:rsidRDefault="00494C66" w:rsidP="00494C66">
            <w:pPr>
              <w:spacing w:after="0" w:line="240" w:lineRule="auto"/>
              <w:jc w:val="center"/>
              <w:rPr>
                <w:rFonts w:ascii="Arial" w:eastAsia="MS Mincho" w:hAnsi="Arial" w:cs="Arial"/>
              </w:rPr>
            </w:pPr>
          </w:p>
        </w:tc>
        <w:tc>
          <w:tcPr>
            <w:tcW w:w="874" w:type="dxa"/>
            <w:tcBorders>
              <w:top w:val="nil"/>
              <w:left w:val="nil"/>
              <w:bottom w:val="nil"/>
              <w:right w:val="nil"/>
            </w:tcBorders>
          </w:tcPr>
          <w:p w14:paraId="4FDA9ADD" w14:textId="77777777" w:rsidR="00494C66" w:rsidRPr="00492106" w:rsidRDefault="00494C66" w:rsidP="00494C66">
            <w:pPr>
              <w:spacing w:after="0" w:line="240" w:lineRule="auto"/>
              <w:jc w:val="center"/>
              <w:rPr>
                <w:rFonts w:ascii="Arial" w:eastAsia="MS Mincho" w:hAnsi="Arial" w:cs="Arial"/>
              </w:rPr>
            </w:pPr>
          </w:p>
        </w:tc>
        <w:tc>
          <w:tcPr>
            <w:tcW w:w="859" w:type="dxa"/>
            <w:tcBorders>
              <w:top w:val="nil"/>
              <w:left w:val="nil"/>
              <w:bottom w:val="nil"/>
              <w:right w:val="nil"/>
            </w:tcBorders>
          </w:tcPr>
          <w:p w14:paraId="1073E6E8" w14:textId="77777777" w:rsidR="00494C66" w:rsidRPr="00492106" w:rsidRDefault="00494C66" w:rsidP="00494C66">
            <w:pPr>
              <w:spacing w:after="0" w:line="240" w:lineRule="auto"/>
              <w:jc w:val="center"/>
              <w:rPr>
                <w:rFonts w:ascii="Arial" w:eastAsia="MS Mincho" w:hAnsi="Arial" w:cs="Arial"/>
              </w:rPr>
            </w:pPr>
          </w:p>
        </w:tc>
        <w:tc>
          <w:tcPr>
            <w:tcW w:w="1660" w:type="dxa"/>
            <w:tcBorders>
              <w:top w:val="nil"/>
              <w:left w:val="nil"/>
              <w:bottom w:val="nil"/>
              <w:right w:val="nil"/>
            </w:tcBorders>
          </w:tcPr>
          <w:p w14:paraId="496E04DC" w14:textId="77777777" w:rsidR="00494C66" w:rsidRPr="00494C66" w:rsidRDefault="00494C66" w:rsidP="00494C66">
            <w:pPr>
              <w:spacing w:after="0" w:line="240" w:lineRule="auto"/>
              <w:jc w:val="center"/>
              <w:rPr>
                <w:rFonts w:ascii="Arial" w:eastAsia="MS Mincho" w:hAnsi="Arial" w:cs="Arial"/>
              </w:rPr>
            </w:pPr>
          </w:p>
        </w:tc>
        <w:tc>
          <w:tcPr>
            <w:tcW w:w="1185" w:type="dxa"/>
            <w:tcBorders>
              <w:top w:val="nil"/>
              <w:left w:val="nil"/>
              <w:bottom w:val="nil"/>
              <w:right w:val="nil"/>
            </w:tcBorders>
          </w:tcPr>
          <w:p w14:paraId="1CBD36B4" w14:textId="77777777" w:rsidR="00494C66" w:rsidRPr="00492106" w:rsidRDefault="00494C66" w:rsidP="00494C66">
            <w:pPr>
              <w:spacing w:after="0" w:line="240" w:lineRule="auto"/>
              <w:jc w:val="center"/>
              <w:rPr>
                <w:rFonts w:ascii="Arial" w:eastAsia="MS Mincho" w:hAnsi="Arial" w:cs="Arial"/>
              </w:rPr>
            </w:pPr>
          </w:p>
        </w:tc>
      </w:tr>
      <w:tr w:rsidR="00494C66" w:rsidRPr="00492106" w14:paraId="304EF18A" w14:textId="77777777" w:rsidTr="00494C66">
        <w:trPr>
          <w:jc w:val="center"/>
        </w:trPr>
        <w:tc>
          <w:tcPr>
            <w:tcW w:w="2135" w:type="dxa"/>
            <w:tcBorders>
              <w:top w:val="nil"/>
              <w:left w:val="nil"/>
              <w:bottom w:val="nil"/>
              <w:right w:val="nil"/>
            </w:tcBorders>
          </w:tcPr>
          <w:p w14:paraId="692525F4"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Not feasible</w:t>
            </w:r>
          </w:p>
        </w:tc>
        <w:tc>
          <w:tcPr>
            <w:tcW w:w="712" w:type="dxa"/>
            <w:tcBorders>
              <w:top w:val="nil"/>
              <w:left w:val="nil"/>
              <w:bottom w:val="nil"/>
              <w:right w:val="nil"/>
            </w:tcBorders>
          </w:tcPr>
          <w:p w14:paraId="512DF7A7"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102</w:t>
            </w:r>
          </w:p>
        </w:tc>
        <w:tc>
          <w:tcPr>
            <w:tcW w:w="1079" w:type="dxa"/>
            <w:tcBorders>
              <w:top w:val="nil"/>
              <w:left w:val="nil"/>
              <w:bottom w:val="nil"/>
              <w:right w:val="nil"/>
            </w:tcBorders>
          </w:tcPr>
          <w:p w14:paraId="6B829EBA"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19.8</w:t>
            </w:r>
          </w:p>
        </w:tc>
        <w:tc>
          <w:tcPr>
            <w:tcW w:w="874" w:type="dxa"/>
            <w:tcBorders>
              <w:top w:val="nil"/>
              <w:left w:val="nil"/>
              <w:bottom w:val="nil"/>
              <w:right w:val="nil"/>
            </w:tcBorders>
          </w:tcPr>
          <w:p w14:paraId="0D103657"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412</w:t>
            </w:r>
          </w:p>
        </w:tc>
        <w:tc>
          <w:tcPr>
            <w:tcW w:w="859" w:type="dxa"/>
            <w:tcBorders>
              <w:top w:val="nil"/>
              <w:left w:val="nil"/>
              <w:bottom w:val="nil"/>
              <w:right w:val="nil"/>
            </w:tcBorders>
          </w:tcPr>
          <w:p w14:paraId="42016951"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80.2</w:t>
            </w:r>
          </w:p>
        </w:tc>
        <w:tc>
          <w:tcPr>
            <w:tcW w:w="1660" w:type="dxa"/>
            <w:tcBorders>
              <w:top w:val="nil"/>
              <w:left w:val="nil"/>
              <w:bottom w:val="nil"/>
              <w:right w:val="nil"/>
            </w:tcBorders>
          </w:tcPr>
          <w:p w14:paraId="4B322DBA" w14:textId="2FD32684"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1.352</w:t>
            </w:r>
          </w:p>
        </w:tc>
        <w:tc>
          <w:tcPr>
            <w:tcW w:w="1185" w:type="dxa"/>
            <w:tcBorders>
              <w:top w:val="nil"/>
              <w:left w:val="nil"/>
              <w:bottom w:val="nil"/>
              <w:right w:val="nil"/>
            </w:tcBorders>
          </w:tcPr>
          <w:p w14:paraId="5F112896" w14:textId="1AA77176"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0.02</w:t>
            </w:r>
            <w:r w:rsidR="00730ED8">
              <w:rPr>
                <w:rFonts w:ascii="Arial" w:eastAsia="MS Mincho" w:hAnsi="Arial" w:cs="Arial"/>
              </w:rPr>
              <w:t>4</w:t>
            </w:r>
            <w:r w:rsidRPr="00492106">
              <w:rPr>
                <w:rFonts w:ascii="Arial" w:eastAsia="MS Mincho" w:hAnsi="Arial" w:cs="Arial"/>
              </w:rPr>
              <w:t>*</w:t>
            </w:r>
          </w:p>
        </w:tc>
      </w:tr>
      <w:tr w:rsidR="00494C66" w:rsidRPr="00492106" w14:paraId="336AEE09" w14:textId="77777777" w:rsidTr="00494C66">
        <w:trPr>
          <w:jc w:val="center"/>
        </w:trPr>
        <w:tc>
          <w:tcPr>
            <w:tcW w:w="2135" w:type="dxa"/>
            <w:tcBorders>
              <w:top w:val="nil"/>
              <w:left w:val="nil"/>
              <w:bottom w:val="nil"/>
              <w:right w:val="nil"/>
            </w:tcBorders>
          </w:tcPr>
          <w:p w14:paraId="5F94F5F3"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Feasible</w:t>
            </w:r>
          </w:p>
        </w:tc>
        <w:tc>
          <w:tcPr>
            <w:tcW w:w="712" w:type="dxa"/>
            <w:tcBorders>
              <w:top w:val="nil"/>
              <w:left w:val="nil"/>
              <w:bottom w:val="nil"/>
              <w:right w:val="nil"/>
            </w:tcBorders>
          </w:tcPr>
          <w:p w14:paraId="70AC5BAB"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219</w:t>
            </w:r>
          </w:p>
        </w:tc>
        <w:tc>
          <w:tcPr>
            <w:tcW w:w="1079" w:type="dxa"/>
            <w:tcBorders>
              <w:top w:val="nil"/>
              <w:left w:val="nil"/>
              <w:bottom w:val="nil"/>
              <w:right w:val="nil"/>
            </w:tcBorders>
          </w:tcPr>
          <w:p w14:paraId="1F459AA5"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15.5</w:t>
            </w:r>
          </w:p>
        </w:tc>
        <w:tc>
          <w:tcPr>
            <w:tcW w:w="874" w:type="dxa"/>
            <w:tcBorders>
              <w:top w:val="nil"/>
              <w:left w:val="nil"/>
              <w:bottom w:val="nil"/>
              <w:right w:val="nil"/>
            </w:tcBorders>
          </w:tcPr>
          <w:p w14:paraId="4C4A7898"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1196</w:t>
            </w:r>
          </w:p>
        </w:tc>
        <w:tc>
          <w:tcPr>
            <w:tcW w:w="859" w:type="dxa"/>
            <w:tcBorders>
              <w:top w:val="nil"/>
              <w:left w:val="nil"/>
              <w:bottom w:val="nil"/>
              <w:right w:val="nil"/>
            </w:tcBorders>
          </w:tcPr>
          <w:p w14:paraId="60013216"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84.5</w:t>
            </w:r>
          </w:p>
        </w:tc>
        <w:tc>
          <w:tcPr>
            <w:tcW w:w="1660" w:type="dxa"/>
            <w:tcBorders>
              <w:top w:val="nil"/>
              <w:left w:val="nil"/>
              <w:bottom w:val="nil"/>
              <w:right w:val="nil"/>
            </w:tcBorders>
          </w:tcPr>
          <w:p w14:paraId="28EB7226" w14:textId="135B951C"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(1.031 – 1.765)</w:t>
            </w:r>
          </w:p>
        </w:tc>
        <w:tc>
          <w:tcPr>
            <w:tcW w:w="1185" w:type="dxa"/>
            <w:tcBorders>
              <w:top w:val="nil"/>
              <w:left w:val="nil"/>
              <w:bottom w:val="nil"/>
              <w:right w:val="nil"/>
            </w:tcBorders>
          </w:tcPr>
          <w:p w14:paraId="6B86F4D1" w14:textId="77777777" w:rsidR="00494C66" w:rsidRPr="00492106" w:rsidRDefault="00494C66" w:rsidP="00494C66">
            <w:pPr>
              <w:spacing w:after="0" w:line="240" w:lineRule="auto"/>
              <w:jc w:val="center"/>
              <w:rPr>
                <w:rFonts w:ascii="Arial" w:eastAsia="MS Mincho" w:hAnsi="Arial" w:cs="Arial"/>
              </w:rPr>
            </w:pPr>
          </w:p>
        </w:tc>
      </w:tr>
      <w:tr w:rsidR="00494C66" w:rsidRPr="00492106" w14:paraId="1EF3F94F" w14:textId="77777777" w:rsidTr="00494C66">
        <w:trPr>
          <w:jc w:val="center"/>
        </w:trPr>
        <w:tc>
          <w:tcPr>
            <w:tcW w:w="2135" w:type="dxa"/>
            <w:tcBorders>
              <w:top w:val="nil"/>
              <w:left w:val="nil"/>
              <w:bottom w:val="nil"/>
              <w:right w:val="nil"/>
            </w:tcBorders>
          </w:tcPr>
          <w:p w14:paraId="283AAFB4" w14:textId="77777777" w:rsidR="00494C66" w:rsidRPr="00492106" w:rsidRDefault="00494C66" w:rsidP="00494C66">
            <w:pPr>
              <w:spacing w:after="0" w:line="240" w:lineRule="auto"/>
              <w:rPr>
                <w:rFonts w:ascii="Arial" w:eastAsia="MS Mincho" w:hAnsi="Arial" w:cs="Arial"/>
              </w:rPr>
            </w:pPr>
            <w:r w:rsidRPr="00492106">
              <w:rPr>
                <w:rFonts w:ascii="Arial" w:eastAsia="MS Mincho" w:hAnsi="Arial" w:cs="Arial"/>
              </w:rPr>
              <w:t>Access to Sanitation</w:t>
            </w:r>
          </w:p>
        </w:tc>
        <w:tc>
          <w:tcPr>
            <w:tcW w:w="712" w:type="dxa"/>
            <w:tcBorders>
              <w:top w:val="nil"/>
              <w:left w:val="nil"/>
              <w:bottom w:val="nil"/>
              <w:right w:val="nil"/>
            </w:tcBorders>
          </w:tcPr>
          <w:p w14:paraId="6E735D76" w14:textId="77777777" w:rsidR="00494C66" w:rsidRPr="00492106" w:rsidRDefault="00494C66" w:rsidP="00494C66">
            <w:pPr>
              <w:spacing w:after="0" w:line="240" w:lineRule="auto"/>
              <w:jc w:val="center"/>
              <w:rPr>
                <w:rFonts w:ascii="Arial" w:eastAsia="MS Mincho" w:hAnsi="Arial" w:cs="Arial"/>
              </w:rPr>
            </w:pPr>
          </w:p>
        </w:tc>
        <w:tc>
          <w:tcPr>
            <w:tcW w:w="1079" w:type="dxa"/>
            <w:tcBorders>
              <w:top w:val="nil"/>
              <w:left w:val="nil"/>
              <w:bottom w:val="nil"/>
              <w:right w:val="nil"/>
            </w:tcBorders>
          </w:tcPr>
          <w:p w14:paraId="5AD5663C" w14:textId="77777777" w:rsidR="00494C66" w:rsidRPr="00492106" w:rsidRDefault="00494C66" w:rsidP="00494C66">
            <w:pPr>
              <w:spacing w:after="0" w:line="240" w:lineRule="auto"/>
              <w:jc w:val="center"/>
              <w:rPr>
                <w:rFonts w:ascii="Arial" w:eastAsia="MS Mincho" w:hAnsi="Arial" w:cs="Arial"/>
              </w:rPr>
            </w:pPr>
          </w:p>
        </w:tc>
        <w:tc>
          <w:tcPr>
            <w:tcW w:w="874" w:type="dxa"/>
            <w:tcBorders>
              <w:top w:val="nil"/>
              <w:left w:val="nil"/>
              <w:bottom w:val="nil"/>
              <w:right w:val="nil"/>
            </w:tcBorders>
          </w:tcPr>
          <w:p w14:paraId="47BFFB11" w14:textId="77777777" w:rsidR="00494C66" w:rsidRPr="00492106" w:rsidRDefault="00494C66" w:rsidP="00494C66">
            <w:pPr>
              <w:spacing w:after="0" w:line="240" w:lineRule="auto"/>
              <w:jc w:val="center"/>
              <w:rPr>
                <w:rFonts w:ascii="Arial" w:eastAsia="MS Mincho" w:hAnsi="Arial" w:cs="Arial"/>
              </w:rPr>
            </w:pPr>
          </w:p>
        </w:tc>
        <w:tc>
          <w:tcPr>
            <w:tcW w:w="859" w:type="dxa"/>
            <w:tcBorders>
              <w:top w:val="nil"/>
              <w:left w:val="nil"/>
              <w:bottom w:val="nil"/>
              <w:right w:val="nil"/>
            </w:tcBorders>
          </w:tcPr>
          <w:p w14:paraId="2B0F8AE7" w14:textId="77777777" w:rsidR="00494C66" w:rsidRPr="00492106" w:rsidRDefault="00494C66" w:rsidP="00494C66">
            <w:pPr>
              <w:spacing w:after="0" w:line="240" w:lineRule="auto"/>
              <w:jc w:val="center"/>
              <w:rPr>
                <w:rFonts w:ascii="Arial" w:eastAsia="MS Mincho" w:hAnsi="Arial" w:cs="Arial"/>
              </w:rPr>
            </w:pPr>
          </w:p>
        </w:tc>
        <w:tc>
          <w:tcPr>
            <w:tcW w:w="1660" w:type="dxa"/>
            <w:tcBorders>
              <w:top w:val="nil"/>
              <w:left w:val="nil"/>
              <w:bottom w:val="nil"/>
              <w:right w:val="nil"/>
            </w:tcBorders>
          </w:tcPr>
          <w:p w14:paraId="0E507D96" w14:textId="77777777" w:rsidR="00494C66" w:rsidRPr="00494C66" w:rsidRDefault="00494C66" w:rsidP="00494C66">
            <w:pPr>
              <w:spacing w:after="0" w:line="240" w:lineRule="auto"/>
              <w:jc w:val="center"/>
              <w:rPr>
                <w:rFonts w:ascii="Arial" w:eastAsia="MS Mincho" w:hAnsi="Arial" w:cs="Arial"/>
              </w:rPr>
            </w:pPr>
          </w:p>
        </w:tc>
        <w:tc>
          <w:tcPr>
            <w:tcW w:w="1185" w:type="dxa"/>
            <w:tcBorders>
              <w:top w:val="nil"/>
              <w:left w:val="nil"/>
              <w:bottom w:val="nil"/>
              <w:right w:val="nil"/>
            </w:tcBorders>
          </w:tcPr>
          <w:p w14:paraId="40EEA9C6" w14:textId="77777777" w:rsidR="00494C66" w:rsidRPr="00492106" w:rsidRDefault="00494C66" w:rsidP="00494C66">
            <w:pPr>
              <w:spacing w:after="0" w:line="240" w:lineRule="auto"/>
              <w:jc w:val="center"/>
              <w:rPr>
                <w:rFonts w:ascii="Arial" w:eastAsia="MS Mincho" w:hAnsi="Arial" w:cs="Arial"/>
              </w:rPr>
            </w:pPr>
          </w:p>
        </w:tc>
      </w:tr>
      <w:tr w:rsidR="00494C66" w:rsidRPr="00492106" w14:paraId="236AC71A" w14:textId="77777777" w:rsidTr="00494C66">
        <w:trPr>
          <w:jc w:val="center"/>
        </w:trPr>
        <w:tc>
          <w:tcPr>
            <w:tcW w:w="2135" w:type="dxa"/>
            <w:tcBorders>
              <w:top w:val="nil"/>
              <w:left w:val="nil"/>
              <w:bottom w:val="nil"/>
              <w:right w:val="nil"/>
            </w:tcBorders>
          </w:tcPr>
          <w:p w14:paraId="10B00027"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Not feasible</w:t>
            </w:r>
          </w:p>
        </w:tc>
        <w:tc>
          <w:tcPr>
            <w:tcW w:w="712" w:type="dxa"/>
            <w:tcBorders>
              <w:top w:val="nil"/>
              <w:left w:val="nil"/>
              <w:bottom w:val="nil"/>
              <w:right w:val="nil"/>
            </w:tcBorders>
          </w:tcPr>
          <w:p w14:paraId="4B029157"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30</w:t>
            </w:r>
          </w:p>
        </w:tc>
        <w:tc>
          <w:tcPr>
            <w:tcW w:w="1079" w:type="dxa"/>
            <w:tcBorders>
              <w:top w:val="nil"/>
              <w:left w:val="nil"/>
              <w:bottom w:val="nil"/>
              <w:right w:val="nil"/>
            </w:tcBorders>
          </w:tcPr>
          <w:p w14:paraId="3C8E80C9"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18.9</w:t>
            </w:r>
          </w:p>
        </w:tc>
        <w:tc>
          <w:tcPr>
            <w:tcW w:w="874" w:type="dxa"/>
            <w:tcBorders>
              <w:top w:val="nil"/>
              <w:left w:val="nil"/>
              <w:bottom w:val="nil"/>
              <w:right w:val="nil"/>
            </w:tcBorders>
          </w:tcPr>
          <w:p w14:paraId="41EF721D"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129</w:t>
            </w:r>
          </w:p>
        </w:tc>
        <w:tc>
          <w:tcPr>
            <w:tcW w:w="859" w:type="dxa"/>
            <w:tcBorders>
              <w:top w:val="nil"/>
              <w:left w:val="nil"/>
              <w:bottom w:val="nil"/>
              <w:right w:val="nil"/>
            </w:tcBorders>
          </w:tcPr>
          <w:p w14:paraId="19F9AD3C"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81.1</w:t>
            </w:r>
          </w:p>
        </w:tc>
        <w:tc>
          <w:tcPr>
            <w:tcW w:w="1660" w:type="dxa"/>
            <w:tcBorders>
              <w:top w:val="nil"/>
              <w:left w:val="nil"/>
              <w:bottom w:val="nil"/>
              <w:right w:val="nil"/>
            </w:tcBorders>
          </w:tcPr>
          <w:p w14:paraId="1A77A373" w14:textId="70773A36"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1.182</w:t>
            </w:r>
          </w:p>
        </w:tc>
        <w:tc>
          <w:tcPr>
            <w:tcW w:w="1185" w:type="dxa"/>
            <w:tcBorders>
              <w:top w:val="nil"/>
              <w:left w:val="nil"/>
              <w:bottom w:val="nil"/>
              <w:right w:val="nil"/>
            </w:tcBorders>
          </w:tcPr>
          <w:p w14:paraId="7AC645A5"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0.431</w:t>
            </w:r>
          </w:p>
        </w:tc>
      </w:tr>
      <w:tr w:rsidR="00494C66" w:rsidRPr="00492106" w14:paraId="11EFF28A" w14:textId="77777777" w:rsidTr="00494C66">
        <w:trPr>
          <w:jc w:val="center"/>
        </w:trPr>
        <w:tc>
          <w:tcPr>
            <w:tcW w:w="2135" w:type="dxa"/>
            <w:tcBorders>
              <w:top w:val="nil"/>
              <w:left w:val="nil"/>
              <w:bottom w:val="outset" w:sz="6" w:space="0" w:color="auto"/>
              <w:right w:val="nil"/>
            </w:tcBorders>
          </w:tcPr>
          <w:p w14:paraId="5264E32C" w14:textId="77777777" w:rsidR="00494C66" w:rsidRPr="00492106" w:rsidRDefault="00494C66" w:rsidP="00494C66">
            <w:pPr>
              <w:spacing w:after="0" w:line="240" w:lineRule="auto"/>
              <w:ind w:firstLine="272"/>
              <w:rPr>
                <w:rFonts w:ascii="Arial" w:eastAsia="MS Mincho" w:hAnsi="Arial" w:cs="Arial"/>
              </w:rPr>
            </w:pPr>
            <w:r w:rsidRPr="00492106">
              <w:rPr>
                <w:rFonts w:ascii="Arial" w:eastAsia="MS Mincho" w:hAnsi="Arial" w:cs="Arial"/>
              </w:rPr>
              <w:t>Feasible</w:t>
            </w:r>
          </w:p>
        </w:tc>
        <w:tc>
          <w:tcPr>
            <w:tcW w:w="712" w:type="dxa"/>
            <w:tcBorders>
              <w:top w:val="nil"/>
              <w:left w:val="nil"/>
              <w:bottom w:val="outset" w:sz="6" w:space="0" w:color="auto"/>
              <w:right w:val="nil"/>
            </w:tcBorders>
          </w:tcPr>
          <w:p w14:paraId="036BE7B4"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291</w:t>
            </w:r>
          </w:p>
        </w:tc>
        <w:tc>
          <w:tcPr>
            <w:tcW w:w="1079" w:type="dxa"/>
            <w:tcBorders>
              <w:top w:val="nil"/>
              <w:left w:val="nil"/>
              <w:bottom w:val="outset" w:sz="6" w:space="0" w:color="auto"/>
              <w:right w:val="nil"/>
            </w:tcBorders>
          </w:tcPr>
          <w:p w14:paraId="5DA49A43"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16.4</w:t>
            </w:r>
          </w:p>
        </w:tc>
        <w:tc>
          <w:tcPr>
            <w:tcW w:w="874" w:type="dxa"/>
            <w:tcBorders>
              <w:top w:val="nil"/>
              <w:left w:val="nil"/>
              <w:bottom w:val="outset" w:sz="6" w:space="0" w:color="auto"/>
              <w:right w:val="nil"/>
            </w:tcBorders>
          </w:tcPr>
          <w:p w14:paraId="0EBEED2F"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1479</w:t>
            </w:r>
          </w:p>
        </w:tc>
        <w:tc>
          <w:tcPr>
            <w:tcW w:w="859" w:type="dxa"/>
            <w:tcBorders>
              <w:top w:val="nil"/>
              <w:left w:val="nil"/>
              <w:bottom w:val="outset" w:sz="6" w:space="0" w:color="auto"/>
              <w:right w:val="nil"/>
            </w:tcBorders>
          </w:tcPr>
          <w:p w14:paraId="4D9DECAE" w14:textId="77777777" w:rsidR="00494C66" w:rsidRPr="00492106" w:rsidRDefault="00494C66" w:rsidP="00494C66">
            <w:pPr>
              <w:spacing w:after="0" w:line="240" w:lineRule="auto"/>
              <w:jc w:val="center"/>
              <w:rPr>
                <w:rFonts w:ascii="Arial" w:eastAsia="MS Mincho" w:hAnsi="Arial" w:cs="Arial"/>
              </w:rPr>
            </w:pPr>
            <w:r w:rsidRPr="00492106">
              <w:rPr>
                <w:rFonts w:ascii="Arial" w:eastAsia="MS Mincho" w:hAnsi="Arial" w:cs="Arial"/>
              </w:rPr>
              <w:t>83.6</w:t>
            </w:r>
          </w:p>
        </w:tc>
        <w:tc>
          <w:tcPr>
            <w:tcW w:w="1660" w:type="dxa"/>
            <w:tcBorders>
              <w:top w:val="nil"/>
              <w:left w:val="nil"/>
              <w:bottom w:val="outset" w:sz="6" w:space="0" w:color="auto"/>
              <w:right w:val="nil"/>
            </w:tcBorders>
          </w:tcPr>
          <w:p w14:paraId="3E8DA96D" w14:textId="2A808820" w:rsidR="00494C66" w:rsidRPr="00494C66" w:rsidRDefault="00494C66" w:rsidP="00494C66">
            <w:pPr>
              <w:spacing w:after="0" w:line="240" w:lineRule="auto"/>
              <w:jc w:val="center"/>
              <w:rPr>
                <w:rFonts w:ascii="Arial" w:eastAsia="MS Mincho" w:hAnsi="Arial" w:cs="Arial"/>
              </w:rPr>
            </w:pPr>
            <w:r w:rsidRPr="00494C66">
              <w:rPr>
                <w:rFonts w:ascii="Times New Roman" w:eastAsia="MS Mincho" w:hAnsi="Times New Roman"/>
              </w:rPr>
              <w:t>(0.751 – 1.810)</w:t>
            </w:r>
          </w:p>
        </w:tc>
        <w:tc>
          <w:tcPr>
            <w:tcW w:w="1185" w:type="dxa"/>
            <w:tcBorders>
              <w:top w:val="nil"/>
              <w:left w:val="nil"/>
              <w:bottom w:val="outset" w:sz="6" w:space="0" w:color="auto"/>
              <w:right w:val="nil"/>
            </w:tcBorders>
          </w:tcPr>
          <w:p w14:paraId="5BA988BF" w14:textId="77777777" w:rsidR="00494C66" w:rsidRPr="00492106" w:rsidRDefault="00494C66" w:rsidP="00494C66">
            <w:pPr>
              <w:spacing w:after="0" w:line="240" w:lineRule="auto"/>
              <w:jc w:val="center"/>
              <w:rPr>
                <w:rFonts w:ascii="Arial" w:eastAsia="MS Mincho" w:hAnsi="Arial" w:cs="Arial"/>
              </w:rPr>
            </w:pPr>
          </w:p>
        </w:tc>
      </w:tr>
    </w:tbl>
    <w:bookmarkEnd w:id="2"/>
    <w:p w14:paraId="3D3841DE" w14:textId="77777777" w:rsidR="00492106" w:rsidRPr="00492106" w:rsidRDefault="00492106" w:rsidP="00492106">
      <w:pPr>
        <w:spacing w:after="0" w:line="240" w:lineRule="auto"/>
        <w:jc w:val="both"/>
        <w:rPr>
          <w:rFonts w:ascii="Arial" w:hAnsi="Arial" w:cs="Arial"/>
        </w:rPr>
      </w:pPr>
      <w:r w:rsidRPr="00492106">
        <w:rPr>
          <w:rFonts w:ascii="Arial" w:hAnsi="Arial" w:cs="Arial"/>
          <w:vertAlign w:val="superscript"/>
        </w:rPr>
        <w:t>*</w:t>
      </w:r>
      <w:r w:rsidRPr="00492106">
        <w:rPr>
          <w:rFonts w:ascii="Arial" w:hAnsi="Arial" w:cs="Arial"/>
        </w:rPr>
        <w:t xml:space="preserve"> significant, p-value &lt; 0.05</w:t>
      </w:r>
    </w:p>
    <w:p w14:paraId="6C7C5092" w14:textId="77777777" w:rsidR="00492106" w:rsidRPr="00492106" w:rsidRDefault="00492106" w:rsidP="00492106">
      <w:pPr>
        <w:spacing w:after="0" w:line="240" w:lineRule="auto"/>
        <w:jc w:val="both"/>
        <w:rPr>
          <w:rFonts w:ascii="Arial" w:hAnsi="Arial" w:cs="Arial"/>
        </w:rPr>
      </w:pPr>
      <w:r w:rsidRPr="00492106">
        <w:rPr>
          <w:rFonts w:ascii="Arial" w:hAnsi="Arial" w:cs="Arial"/>
        </w:rPr>
        <w:t>OR = Odds Ratio</w:t>
      </w:r>
    </w:p>
    <w:p w14:paraId="45886F3D" w14:textId="25C13144" w:rsidR="00492106" w:rsidRPr="00492106" w:rsidRDefault="00492106" w:rsidP="00F05149">
      <w:pPr>
        <w:spacing w:line="240" w:lineRule="auto"/>
        <w:jc w:val="both"/>
        <w:rPr>
          <w:rFonts w:ascii="Arial" w:hAnsi="Arial" w:cs="Arial"/>
        </w:rPr>
      </w:pPr>
      <w:r w:rsidRPr="00492106">
        <w:rPr>
          <w:rFonts w:ascii="Arial" w:hAnsi="Arial" w:cs="Arial"/>
        </w:rPr>
        <w:t>CI = Confident Interval</w:t>
      </w:r>
    </w:p>
    <w:p w14:paraId="5FCCBF7E" w14:textId="77777777" w:rsidR="00492106" w:rsidRDefault="00492106" w:rsidP="00492106">
      <w:pPr>
        <w:spacing w:after="0" w:line="240" w:lineRule="auto"/>
        <w:jc w:val="center"/>
        <w:rPr>
          <w:rFonts w:ascii="Arial" w:hAnsi="Arial" w:cs="Arial"/>
          <w:b/>
        </w:rPr>
      </w:pPr>
      <w:r w:rsidRPr="00492106">
        <w:rPr>
          <w:rFonts w:ascii="Arial" w:hAnsi="Arial" w:cs="Arial"/>
          <w:b/>
          <w:color w:val="000000"/>
        </w:rPr>
        <w:t xml:space="preserve">Tabel 4. </w:t>
      </w:r>
      <w:r w:rsidRPr="00492106">
        <w:rPr>
          <w:rFonts w:ascii="Arial" w:hAnsi="Arial" w:cs="Arial"/>
          <w:b/>
        </w:rPr>
        <w:t>Multivariate Analysis of Indicators of Stunting Management with the Incidence of Stunting in Toddlers aged 12-23 Months in Lampung Province</w:t>
      </w:r>
    </w:p>
    <w:tbl>
      <w:tblPr>
        <w:tblW w:w="0" w:type="auto"/>
        <w:tblLook w:val="04A0" w:firstRow="1" w:lastRow="0" w:firstColumn="1" w:lastColumn="0" w:noHBand="0" w:noVBand="1"/>
      </w:tblPr>
      <w:tblGrid>
        <w:gridCol w:w="3519"/>
        <w:gridCol w:w="1174"/>
        <w:gridCol w:w="1119"/>
        <w:gridCol w:w="1134"/>
        <w:gridCol w:w="1091"/>
      </w:tblGrid>
      <w:tr w:rsidR="003C4FF2" w:rsidRPr="003C4FF2" w14:paraId="794630CF" w14:textId="77777777" w:rsidTr="003C4FF2">
        <w:tc>
          <w:tcPr>
            <w:tcW w:w="3519" w:type="dxa"/>
            <w:vMerge w:val="restart"/>
            <w:tcBorders>
              <w:top w:val="single" w:sz="4" w:space="0" w:color="auto"/>
            </w:tcBorders>
            <w:shd w:val="clear" w:color="auto" w:fill="auto"/>
            <w:vAlign w:val="center"/>
          </w:tcPr>
          <w:p w14:paraId="623EA99F" w14:textId="77777777" w:rsidR="003C4FF2" w:rsidRPr="003C4FF2" w:rsidRDefault="003C4FF2" w:rsidP="00AA5A26">
            <w:pPr>
              <w:pStyle w:val="ListParagraph"/>
              <w:spacing w:after="0" w:line="240" w:lineRule="auto"/>
              <w:ind w:left="0"/>
              <w:jc w:val="center"/>
              <w:rPr>
                <w:rFonts w:ascii="Arial" w:eastAsia="Times New Roman" w:hAnsi="Arial" w:cs="Arial"/>
                <w:b/>
              </w:rPr>
            </w:pPr>
            <w:r w:rsidRPr="003C4FF2">
              <w:rPr>
                <w:rFonts w:ascii="Arial" w:eastAsia="Times New Roman" w:hAnsi="Arial" w:cs="Arial"/>
                <w:b/>
              </w:rPr>
              <w:t>Variabel</w:t>
            </w:r>
          </w:p>
        </w:tc>
        <w:tc>
          <w:tcPr>
            <w:tcW w:w="1174" w:type="dxa"/>
            <w:vMerge w:val="restart"/>
            <w:tcBorders>
              <w:top w:val="single" w:sz="4" w:space="0" w:color="auto"/>
            </w:tcBorders>
            <w:shd w:val="clear" w:color="auto" w:fill="auto"/>
            <w:vAlign w:val="center"/>
          </w:tcPr>
          <w:p w14:paraId="18FE3332" w14:textId="77777777" w:rsidR="003C4FF2" w:rsidRPr="003C4FF2" w:rsidRDefault="003C4FF2" w:rsidP="00AA5A26">
            <w:pPr>
              <w:spacing w:after="0" w:line="240" w:lineRule="auto"/>
              <w:jc w:val="center"/>
              <w:rPr>
                <w:rFonts w:ascii="Arial" w:eastAsia="MS Mincho" w:hAnsi="Arial" w:cs="Arial"/>
                <w:b/>
              </w:rPr>
            </w:pPr>
            <w:r w:rsidRPr="003C4FF2">
              <w:rPr>
                <w:rFonts w:ascii="Arial" w:eastAsia="MS Mincho" w:hAnsi="Arial" w:cs="Arial"/>
                <w:b/>
              </w:rPr>
              <w:t>OR</w:t>
            </w:r>
          </w:p>
        </w:tc>
        <w:tc>
          <w:tcPr>
            <w:tcW w:w="2253" w:type="dxa"/>
            <w:gridSpan w:val="2"/>
            <w:tcBorders>
              <w:top w:val="single" w:sz="4" w:space="0" w:color="auto"/>
              <w:bottom w:val="single" w:sz="4" w:space="0" w:color="auto"/>
            </w:tcBorders>
            <w:shd w:val="clear" w:color="auto" w:fill="auto"/>
            <w:vAlign w:val="center"/>
          </w:tcPr>
          <w:p w14:paraId="6AFED75C" w14:textId="77777777" w:rsidR="003C4FF2" w:rsidRPr="003C4FF2" w:rsidRDefault="003C4FF2" w:rsidP="00AA5A26">
            <w:pPr>
              <w:pStyle w:val="ListParagraph"/>
              <w:spacing w:after="0" w:line="240" w:lineRule="auto"/>
              <w:ind w:left="0"/>
              <w:jc w:val="center"/>
              <w:rPr>
                <w:rFonts w:ascii="Arial" w:eastAsia="Times New Roman" w:hAnsi="Arial" w:cs="Arial"/>
                <w:b/>
              </w:rPr>
            </w:pPr>
            <w:r w:rsidRPr="003C4FF2">
              <w:rPr>
                <w:rFonts w:ascii="Arial" w:eastAsia="Times New Roman" w:hAnsi="Arial" w:cs="Arial"/>
                <w:b/>
              </w:rPr>
              <w:t>CI 95%</w:t>
            </w:r>
          </w:p>
        </w:tc>
        <w:tc>
          <w:tcPr>
            <w:tcW w:w="1091" w:type="dxa"/>
            <w:vMerge w:val="restart"/>
            <w:tcBorders>
              <w:top w:val="single" w:sz="4" w:space="0" w:color="auto"/>
            </w:tcBorders>
            <w:vAlign w:val="center"/>
          </w:tcPr>
          <w:p w14:paraId="4D98C83A" w14:textId="77777777" w:rsidR="003C4FF2" w:rsidRPr="003C4FF2" w:rsidRDefault="003C4FF2" w:rsidP="00AA5A26">
            <w:pPr>
              <w:pStyle w:val="ListParagraph"/>
              <w:spacing w:after="0" w:line="240" w:lineRule="auto"/>
              <w:ind w:left="0"/>
              <w:jc w:val="center"/>
              <w:rPr>
                <w:rFonts w:ascii="Arial" w:eastAsia="Times New Roman" w:hAnsi="Arial" w:cs="Arial"/>
                <w:b/>
              </w:rPr>
            </w:pPr>
            <w:r w:rsidRPr="003C4FF2">
              <w:rPr>
                <w:rFonts w:ascii="Arial" w:eastAsia="Times New Roman" w:hAnsi="Arial" w:cs="Arial"/>
                <w:b/>
              </w:rPr>
              <w:t>p-value</w:t>
            </w:r>
          </w:p>
        </w:tc>
      </w:tr>
      <w:tr w:rsidR="003C4FF2" w:rsidRPr="003C4FF2" w14:paraId="4314FB6A" w14:textId="77777777" w:rsidTr="003C4FF2">
        <w:tc>
          <w:tcPr>
            <w:tcW w:w="3519" w:type="dxa"/>
            <w:vMerge/>
            <w:tcBorders>
              <w:bottom w:val="single" w:sz="4" w:space="0" w:color="auto"/>
            </w:tcBorders>
            <w:shd w:val="clear" w:color="auto" w:fill="auto"/>
            <w:vAlign w:val="center"/>
          </w:tcPr>
          <w:p w14:paraId="14CB69F1" w14:textId="77777777" w:rsidR="003C4FF2" w:rsidRPr="003C4FF2" w:rsidRDefault="003C4FF2" w:rsidP="00AA5A26">
            <w:pPr>
              <w:pStyle w:val="ListParagraph"/>
              <w:spacing w:after="0" w:line="240" w:lineRule="auto"/>
              <w:ind w:left="0"/>
              <w:jc w:val="center"/>
              <w:rPr>
                <w:rFonts w:ascii="Arial" w:eastAsia="Times New Roman" w:hAnsi="Arial" w:cs="Arial"/>
                <w:b/>
              </w:rPr>
            </w:pPr>
          </w:p>
        </w:tc>
        <w:tc>
          <w:tcPr>
            <w:tcW w:w="1174" w:type="dxa"/>
            <w:vMerge/>
            <w:tcBorders>
              <w:bottom w:val="single" w:sz="4" w:space="0" w:color="auto"/>
            </w:tcBorders>
            <w:shd w:val="clear" w:color="auto" w:fill="auto"/>
            <w:vAlign w:val="center"/>
          </w:tcPr>
          <w:p w14:paraId="5AABF606" w14:textId="77777777" w:rsidR="003C4FF2" w:rsidRPr="003C4FF2" w:rsidRDefault="003C4FF2" w:rsidP="00AA5A26">
            <w:pPr>
              <w:spacing w:after="0" w:line="240" w:lineRule="auto"/>
              <w:jc w:val="center"/>
              <w:rPr>
                <w:rFonts w:ascii="Arial" w:eastAsia="MS Mincho" w:hAnsi="Arial" w:cs="Arial"/>
                <w:b/>
              </w:rPr>
            </w:pPr>
          </w:p>
        </w:tc>
        <w:tc>
          <w:tcPr>
            <w:tcW w:w="1119" w:type="dxa"/>
            <w:tcBorders>
              <w:top w:val="single" w:sz="4" w:space="0" w:color="auto"/>
              <w:bottom w:val="single" w:sz="4" w:space="0" w:color="auto"/>
            </w:tcBorders>
            <w:shd w:val="clear" w:color="auto" w:fill="auto"/>
            <w:vAlign w:val="center"/>
          </w:tcPr>
          <w:p w14:paraId="120A3C38" w14:textId="77777777" w:rsidR="003C4FF2" w:rsidRPr="003C4FF2" w:rsidRDefault="003C4FF2" w:rsidP="00AA5A26">
            <w:pPr>
              <w:pStyle w:val="ListParagraph"/>
              <w:spacing w:after="0" w:line="240" w:lineRule="auto"/>
              <w:ind w:left="0"/>
              <w:jc w:val="center"/>
              <w:rPr>
                <w:rFonts w:ascii="Arial" w:eastAsia="Times New Roman" w:hAnsi="Arial" w:cs="Arial"/>
                <w:b/>
                <w:i/>
                <w:iCs/>
              </w:rPr>
            </w:pPr>
            <w:r w:rsidRPr="003C4FF2">
              <w:rPr>
                <w:rFonts w:ascii="Arial" w:eastAsia="Times New Roman" w:hAnsi="Arial" w:cs="Arial"/>
                <w:b/>
                <w:i/>
                <w:iCs/>
              </w:rPr>
              <w:t xml:space="preserve">Lower </w:t>
            </w:r>
          </w:p>
        </w:tc>
        <w:tc>
          <w:tcPr>
            <w:tcW w:w="1134" w:type="dxa"/>
            <w:tcBorders>
              <w:top w:val="single" w:sz="4" w:space="0" w:color="auto"/>
              <w:bottom w:val="single" w:sz="4" w:space="0" w:color="auto"/>
            </w:tcBorders>
            <w:shd w:val="clear" w:color="auto" w:fill="auto"/>
            <w:vAlign w:val="center"/>
          </w:tcPr>
          <w:p w14:paraId="2DB4E35F" w14:textId="77777777" w:rsidR="003C4FF2" w:rsidRPr="003C4FF2" w:rsidRDefault="003C4FF2" w:rsidP="00AA5A26">
            <w:pPr>
              <w:pStyle w:val="ListParagraph"/>
              <w:spacing w:after="0" w:line="240" w:lineRule="auto"/>
              <w:ind w:left="0"/>
              <w:jc w:val="center"/>
              <w:rPr>
                <w:rFonts w:ascii="Arial" w:eastAsia="Times New Roman" w:hAnsi="Arial" w:cs="Arial"/>
                <w:b/>
                <w:i/>
                <w:iCs/>
              </w:rPr>
            </w:pPr>
            <w:r w:rsidRPr="003C4FF2">
              <w:rPr>
                <w:rFonts w:ascii="Arial" w:eastAsia="Times New Roman" w:hAnsi="Arial" w:cs="Arial"/>
                <w:b/>
                <w:i/>
                <w:iCs/>
              </w:rPr>
              <w:t xml:space="preserve">Upper </w:t>
            </w:r>
          </w:p>
        </w:tc>
        <w:tc>
          <w:tcPr>
            <w:tcW w:w="1091" w:type="dxa"/>
            <w:vMerge/>
            <w:tcBorders>
              <w:bottom w:val="single" w:sz="4" w:space="0" w:color="auto"/>
            </w:tcBorders>
            <w:vAlign w:val="center"/>
          </w:tcPr>
          <w:p w14:paraId="0F8381BD" w14:textId="77777777" w:rsidR="003C4FF2" w:rsidRPr="003C4FF2" w:rsidRDefault="003C4FF2" w:rsidP="00AA5A26">
            <w:pPr>
              <w:pStyle w:val="ListParagraph"/>
              <w:spacing w:after="0" w:line="240" w:lineRule="auto"/>
              <w:ind w:left="0"/>
              <w:jc w:val="center"/>
              <w:rPr>
                <w:rFonts w:ascii="Arial" w:eastAsia="Times New Roman" w:hAnsi="Arial" w:cs="Arial"/>
                <w:b/>
              </w:rPr>
            </w:pPr>
          </w:p>
        </w:tc>
      </w:tr>
      <w:tr w:rsidR="003C4FF2" w:rsidRPr="003C4FF2" w14:paraId="5CDEB8A7" w14:textId="77777777" w:rsidTr="003C4FF2">
        <w:tc>
          <w:tcPr>
            <w:tcW w:w="3519" w:type="dxa"/>
            <w:tcBorders>
              <w:top w:val="single" w:sz="4" w:space="0" w:color="auto"/>
            </w:tcBorders>
            <w:shd w:val="clear" w:color="auto" w:fill="auto"/>
          </w:tcPr>
          <w:p w14:paraId="16FDDD7D" w14:textId="77777777" w:rsidR="003C4FF2" w:rsidRPr="003C4FF2" w:rsidRDefault="003C4FF2" w:rsidP="00AA5A26">
            <w:pPr>
              <w:pStyle w:val="ListParagraph"/>
              <w:spacing w:after="0" w:line="240" w:lineRule="auto"/>
              <w:ind w:left="0"/>
              <w:jc w:val="both"/>
              <w:rPr>
                <w:rFonts w:ascii="Arial" w:eastAsia="Times New Roman" w:hAnsi="Arial" w:cs="Arial"/>
                <w:b/>
                <w:i/>
                <w:iCs/>
              </w:rPr>
            </w:pPr>
            <w:r w:rsidRPr="003C4FF2">
              <w:rPr>
                <w:rFonts w:ascii="Arial" w:eastAsia="Times New Roman" w:hAnsi="Arial" w:cs="Arial"/>
                <w:b/>
                <w:i/>
                <w:iCs/>
              </w:rPr>
              <w:t>Fixed Effect</w:t>
            </w:r>
          </w:p>
        </w:tc>
        <w:tc>
          <w:tcPr>
            <w:tcW w:w="1174" w:type="dxa"/>
            <w:tcBorders>
              <w:top w:val="single" w:sz="4" w:space="0" w:color="auto"/>
            </w:tcBorders>
            <w:shd w:val="clear" w:color="auto" w:fill="auto"/>
          </w:tcPr>
          <w:p w14:paraId="2426BEEE" w14:textId="77777777" w:rsidR="003C4FF2" w:rsidRPr="003C4FF2" w:rsidRDefault="003C4FF2" w:rsidP="00AA5A26">
            <w:pPr>
              <w:pStyle w:val="ListParagraph"/>
              <w:spacing w:after="0" w:line="240" w:lineRule="auto"/>
              <w:ind w:left="0"/>
              <w:jc w:val="both"/>
              <w:rPr>
                <w:rFonts w:ascii="Arial" w:eastAsia="Times New Roman" w:hAnsi="Arial" w:cs="Arial"/>
                <w:bCs/>
              </w:rPr>
            </w:pPr>
          </w:p>
        </w:tc>
        <w:tc>
          <w:tcPr>
            <w:tcW w:w="1119" w:type="dxa"/>
            <w:tcBorders>
              <w:top w:val="single" w:sz="4" w:space="0" w:color="auto"/>
            </w:tcBorders>
            <w:shd w:val="clear" w:color="auto" w:fill="auto"/>
          </w:tcPr>
          <w:p w14:paraId="7D7784FA" w14:textId="77777777" w:rsidR="003C4FF2" w:rsidRPr="003C4FF2" w:rsidRDefault="003C4FF2" w:rsidP="00AA5A26">
            <w:pPr>
              <w:pStyle w:val="ListParagraph"/>
              <w:spacing w:after="0" w:line="240" w:lineRule="auto"/>
              <w:ind w:left="0"/>
              <w:jc w:val="both"/>
              <w:rPr>
                <w:rFonts w:ascii="Arial" w:eastAsia="Times New Roman" w:hAnsi="Arial" w:cs="Arial"/>
                <w:bCs/>
              </w:rPr>
            </w:pPr>
          </w:p>
        </w:tc>
        <w:tc>
          <w:tcPr>
            <w:tcW w:w="1134" w:type="dxa"/>
            <w:tcBorders>
              <w:top w:val="single" w:sz="4" w:space="0" w:color="auto"/>
            </w:tcBorders>
            <w:shd w:val="clear" w:color="auto" w:fill="auto"/>
          </w:tcPr>
          <w:p w14:paraId="6D3566D3" w14:textId="77777777" w:rsidR="003C4FF2" w:rsidRPr="003C4FF2" w:rsidRDefault="003C4FF2" w:rsidP="00AA5A26">
            <w:pPr>
              <w:pStyle w:val="ListParagraph"/>
              <w:spacing w:after="0" w:line="240" w:lineRule="auto"/>
              <w:ind w:left="0"/>
              <w:jc w:val="both"/>
              <w:rPr>
                <w:rFonts w:ascii="Arial" w:eastAsia="Times New Roman" w:hAnsi="Arial" w:cs="Arial"/>
                <w:bCs/>
              </w:rPr>
            </w:pPr>
          </w:p>
        </w:tc>
        <w:tc>
          <w:tcPr>
            <w:tcW w:w="1091" w:type="dxa"/>
            <w:tcBorders>
              <w:top w:val="single" w:sz="4" w:space="0" w:color="auto"/>
            </w:tcBorders>
          </w:tcPr>
          <w:p w14:paraId="34B69E2B" w14:textId="77777777" w:rsidR="003C4FF2" w:rsidRPr="003C4FF2" w:rsidRDefault="003C4FF2" w:rsidP="00AA5A26">
            <w:pPr>
              <w:pStyle w:val="ListParagraph"/>
              <w:spacing w:after="0" w:line="240" w:lineRule="auto"/>
              <w:ind w:left="0"/>
              <w:jc w:val="both"/>
              <w:rPr>
                <w:rFonts w:ascii="Arial" w:eastAsia="Times New Roman" w:hAnsi="Arial" w:cs="Arial"/>
                <w:bCs/>
              </w:rPr>
            </w:pPr>
          </w:p>
        </w:tc>
      </w:tr>
      <w:tr w:rsidR="003C4FF2" w:rsidRPr="003C4FF2" w14:paraId="0FD84B9A" w14:textId="77777777" w:rsidTr="003C4FF2">
        <w:tc>
          <w:tcPr>
            <w:tcW w:w="3519" w:type="dxa"/>
            <w:shd w:val="clear" w:color="auto" w:fill="auto"/>
          </w:tcPr>
          <w:p w14:paraId="675EC11F" w14:textId="1AA92750" w:rsidR="003C4FF2" w:rsidRPr="003C4FF2" w:rsidRDefault="003C4FF2" w:rsidP="00AA5A26">
            <w:pPr>
              <w:pStyle w:val="ListParagraph"/>
              <w:spacing w:after="0" w:line="240" w:lineRule="auto"/>
              <w:ind w:left="326"/>
              <w:rPr>
                <w:rFonts w:ascii="Arial" w:eastAsia="Times New Roman" w:hAnsi="Arial" w:cs="Arial"/>
                <w:bCs/>
              </w:rPr>
            </w:pPr>
            <w:r w:rsidRPr="00492106">
              <w:rPr>
                <w:rFonts w:ascii="Arial" w:eastAsia="MS Mincho" w:hAnsi="Arial" w:cs="Arial"/>
              </w:rPr>
              <w:t>Inappropriate</w:t>
            </w:r>
            <w:r>
              <w:rPr>
                <w:rFonts w:ascii="Arial" w:eastAsia="MS Mincho" w:hAnsi="Arial" w:cs="Arial"/>
              </w:rPr>
              <w:t xml:space="preserve"> </w:t>
            </w:r>
            <w:r w:rsidRPr="00492106">
              <w:rPr>
                <w:rFonts w:ascii="Arial" w:eastAsia="MS Mincho" w:hAnsi="Arial" w:cs="Arial"/>
              </w:rPr>
              <w:t>Iron Tablets Consumption</w:t>
            </w:r>
          </w:p>
        </w:tc>
        <w:tc>
          <w:tcPr>
            <w:tcW w:w="1174" w:type="dxa"/>
            <w:shd w:val="clear" w:color="auto" w:fill="auto"/>
          </w:tcPr>
          <w:p w14:paraId="3923B607" w14:textId="77777777" w:rsidR="003C4FF2" w:rsidRPr="003C4FF2" w:rsidRDefault="003C4FF2" w:rsidP="00AA5A26">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1.13</w:t>
            </w:r>
          </w:p>
        </w:tc>
        <w:tc>
          <w:tcPr>
            <w:tcW w:w="1119" w:type="dxa"/>
            <w:shd w:val="clear" w:color="auto" w:fill="auto"/>
          </w:tcPr>
          <w:p w14:paraId="2A0AF65F" w14:textId="77777777" w:rsidR="003C4FF2" w:rsidRPr="003C4FF2" w:rsidRDefault="003C4FF2" w:rsidP="00AA5A26">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-1.434</w:t>
            </w:r>
          </w:p>
        </w:tc>
        <w:tc>
          <w:tcPr>
            <w:tcW w:w="1134" w:type="dxa"/>
            <w:shd w:val="clear" w:color="auto" w:fill="auto"/>
          </w:tcPr>
          <w:p w14:paraId="019A6D76" w14:textId="77777777" w:rsidR="003C4FF2" w:rsidRPr="003C4FF2" w:rsidRDefault="003C4FF2" w:rsidP="00AA5A26">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0.393</w:t>
            </w:r>
          </w:p>
        </w:tc>
        <w:tc>
          <w:tcPr>
            <w:tcW w:w="1091" w:type="dxa"/>
          </w:tcPr>
          <w:p w14:paraId="1C65FE45" w14:textId="77777777" w:rsidR="003C4FF2" w:rsidRPr="003C4FF2" w:rsidRDefault="003C4FF2" w:rsidP="00AA5A26">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0.362</w:t>
            </w:r>
          </w:p>
        </w:tc>
      </w:tr>
      <w:tr w:rsidR="003C4FF2" w:rsidRPr="003C4FF2" w14:paraId="0884E226" w14:textId="77777777" w:rsidTr="003C4FF2">
        <w:tc>
          <w:tcPr>
            <w:tcW w:w="3519" w:type="dxa"/>
            <w:shd w:val="clear" w:color="auto" w:fill="auto"/>
          </w:tcPr>
          <w:p w14:paraId="77D90A34" w14:textId="7E476E8D" w:rsidR="003C4FF2" w:rsidRPr="003C4FF2" w:rsidRDefault="003C4FF2" w:rsidP="003C4FF2">
            <w:pPr>
              <w:pStyle w:val="ListParagraph"/>
              <w:spacing w:after="0" w:line="240" w:lineRule="auto"/>
              <w:ind w:left="326"/>
              <w:rPr>
                <w:rFonts w:ascii="Arial" w:eastAsia="Times New Roman" w:hAnsi="Arial" w:cs="Arial"/>
                <w:bCs/>
              </w:rPr>
            </w:pPr>
            <w:r>
              <w:rPr>
                <w:rFonts w:ascii="Arial" w:eastAsia="MS Mincho" w:hAnsi="Arial" w:cs="Arial"/>
              </w:rPr>
              <w:t>Non-</w:t>
            </w:r>
            <w:r w:rsidRPr="00492106">
              <w:rPr>
                <w:rFonts w:ascii="Arial" w:eastAsia="MS Mincho" w:hAnsi="Arial" w:cs="Arial"/>
              </w:rPr>
              <w:t>Exclusive breastfeeding</w:t>
            </w:r>
          </w:p>
        </w:tc>
        <w:tc>
          <w:tcPr>
            <w:tcW w:w="1174" w:type="dxa"/>
            <w:shd w:val="clear" w:color="auto" w:fill="auto"/>
          </w:tcPr>
          <w:p w14:paraId="5C695860"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0.83</w:t>
            </w:r>
          </w:p>
        </w:tc>
        <w:tc>
          <w:tcPr>
            <w:tcW w:w="1119" w:type="dxa"/>
            <w:shd w:val="clear" w:color="auto" w:fill="auto"/>
          </w:tcPr>
          <w:p w14:paraId="50703743"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-0.422</w:t>
            </w:r>
          </w:p>
        </w:tc>
        <w:tc>
          <w:tcPr>
            <w:tcW w:w="1134" w:type="dxa"/>
            <w:shd w:val="clear" w:color="auto" w:fill="auto"/>
          </w:tcPr>
          <w:p w14:paraId="7C04DDC0"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0.071</w:t>
            </w:r>
          </w:p>
        </w:tc>
        <w:tc>
          <w:tcPr>
            <w:tcW w:w="1091" w:type="dxa"/>
          </w:tcPr>
          <w:p w14:paraId="61BC1BD7"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0.164</w:t>
            </w:r>
          </w:p>
        </w:tc>
      </w:tr>
      <w:tr w:rsidR="003C4FF2" w:rsidRPr="003C4FF2" w14:paraId="61E3F28D" w14:textId="77777777" w:rsidTr="003C4FF2">
        <w:tc>
          <w:tcPr>
            <w:tcW w:w="3519" w:type="dxa"/>
            <w:shd w:val="clear" w:color="auto" w:fill="auto"/>
          </w:tcPr>
          <w:p w14:paraId="6CE47384" w14:textId="61836D2D" w:rsidR="003C4FF2" w:rsidRPr="003C4FF2" w:rsidRDefault="00476CF1" w:rsidP="003C4FF2">
            <w:pPr>
              <w:pStyle w:val="ListParagraph"/>
              <w:spacing w:after="0" w:line="240" w:lineRule="auto"/>
              <w:ind w:left="326"/>
              <w:rPr>
                <w:rFonts w:ascii="Arial" w:eastAsia="Times New Roman" w:hAnsi="Arial" w:cs="Arial"/>
                <w:bCs/>
              </w:rPr>
            </w:pPr>
            <w:r>
              <w:rPr>
                <w:rFonts w:ascii="Arial" w:eastAsia="MS Mincho" w:hAnsi="Arial" w:cs="Arial"/>
              </w:rPr>
              <w:t xml:space="preserve">Not Routine </w:t>
            </w:r>
            <w:r w:rsidR="003C4FF2" w:rsidRPr="00492106">
              <w:rPr>
                <w:rFonts w:ascii="Arial" w:eastAsia="MS Mincho" w:hAnsi="Arial" w:cs="Arial"/>
              </w:rPr>
              <w:t>Growth Monitoring</w:t>
            </w:r>
            <w:r w:rsidR="003C4FF2">
              <w:rPr>
                <w:rFonts w:ascii="Arial" w:eastAsia="MS Mincho" w:hAnsi="Arial" w:cs="Arial"/>
              </w:rPr>
              <w:t xml:space="preserve"> </w:t>
            </w:r>
          </w:p>
        </w:tc>
        <w:tc>
          <w:tcPr>
            <w:tcW w:w="1174" w:type="dxa"/>
            <w:shd w:val="clear" w:color="auto" w:fill="auto"/>
          </w:tcPr>
          <w:p w14:paraId="13307323"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1.03</w:t>
            </w:r>
          </w:p>
        </w:tc>
        <w:tc>
          <w:tcPr>
            <w:tcW w:w="1119" w:type="dxa"/>
            <w:shd w:val="clear" w:color="auto" w:fill="auto"/>
          </w:tcPr>
          <w:p w14:paraId="44BDB3A5"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-0.222</w:t>
            </w:r>
          </w:p>
        </w:tc>
        <w:tc>
          <w:tcPr>
            <w:tcW w:w="1134" w:type="dxa"/>
            <w:shd w:val="clear" w:color="auto" w:fill="auto"/>
          </w:tcPr>
          <w:p w14:paraId="3CA1A80B"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0.286</w:t>
            </w:r>
          </w:p>
        </w:tc>
        <w:tc>
          <w:tcPr>
            <w:tcW w:w="1091" w:type="dxa"/>
          </w:tcPr>
          <w:p w14:paraId="20B88571"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0.807</w:t>
            </w:r>
          </w:p>
        </w:tc>
      </w:tr>
      <w:tr w:rsidR="003C4FF2" w:rsidRPr="003C4FF2" w14:paraId="321E07B2" w14:textId="77777777" w:rsidTr="003C4FF2">
        <w:tc>
          <w:tcPr>
            <w:tcW w:w="3519" w:type="dxa"/>
            <w:shd w:val="clear" w:color="auto" w:fill="auto"/>
          </w:tcPr>
          <w:p w14:paraId="00DCF566" w14:textId="55B7E9C7" w:rsidR="003C4FF2" w:rsidRPr="003C4FF2" w:rsidRDefault="00476CF1" w:rsidP="003C4FF2">
            <w:pPr>
              <w:pStyle w:val="ListParagraph"/>
              <w:spacing w:after="0" w:line="240" w:lineRule="auto"/>
              <w:ind w:left="326"/>
              <w:rPr>
                <w:rFonts w:ascii="Arial" w:eastAsia="Times New Roman" w:hAnsi="Arial" w:cs="Arial"/>
                <w:bCs/>
              </w:rPr>
            </w:pPr>
            <w:r>
              <w:rPr>
                <w:rFonts w:ascii="Arial" w:eastAsia="MS Mincho" w:hAnsi="Arial" w:cs="Arial"/>
              </w:rPr>
              <w:t xml:space="preserve">Incomplete </w:t>
            </w:r>
            <w:r w:rsidRPr="00492106">
              <w:rPr>
                <w:rFonts w:ascii="Arial" w:eastAsia="MS Mincho" w:hAnsi="Arial" w:cs="Arial"/>
              </w:rPr>
              <w:t>Primary Immunization</w:t>
            </w:r>
          </w:p>
        </w:tc>
        <w:tc>
          <w:tcPr>
            <w:tcW w:w="1174" w:type="dxa"/>
            <w:shd w:val="clear" w:color="auto" w:fill="auto"/>
          </w:tcPr>
          <w:p w14:paraId="37BF0C4B"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1.35</w:t>
            </w:r>
          </w:p>
        </w:tc>
        <w:tc>
          <w:tcPr>
            <w:tcW w:w="1119" w:type="dxa"/>
            <w:shd w:val="clear" w:color="auto" w:fill="auto"/>
          </w:tcPr>
          <w:p w14:paraId="3747629A"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0.454</w:t>
            </w:r>
          </w:p>
        </w:tc>
        <w:tc>
          <w:tcPr>
            <w:tcW w:w="1134" w:type="dxa"/>
            <w:shd w:val="clear" w:color="auto" w:fill="auto"/>
          </w:tcPr>
          <w:p w14:paraId="489E8C94"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0.562</w:t>
            </w:r>
          </w:p>
        </w:tc>
        <w:tc>
          <w:tcPr>
            <w:tcW w:w="1091" w:type="dxa"/>
          </w:tcPr>
          <w:p w14:paraId="0583F36B"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0.021</w:t>
            </w:r>
          </w:p>
        </w:tc>
      </w:tr>
      <w:tr w:rsidR="003C4FF2" w:rsidRPr="003C4FF2" w14:paraId="7F6D14C3" w14:textId="77777777" w:rsidTr="003C4FF2">
        <w:tc>
          <w:tcPr>
            <w:tcW w:w="3519" w:type="dxa"/>
            <w:shd w:val="clear" w:color="auto" w:fill="auto"/>
          </w:tcPr>
          <w:p w14:paraId="4519F781" w14:textId="167B2523" w:rsidR="003C4FF2" w:rsidRPr="003C4FF2" w:rsidRDefault="00476CF1" w:rsidP="003C4FF2">
            <w:pPr>
              <w:pStyle w:val="ListParagraph"/>
              <w:spacing w:after="0" w:line="240" w:lineRule="auto"/>
              <w:ind w:left="326"/>
              <w:rPr>
                <w:rFonts w:ascii="Arial" w:eastAsia="Times New Roman" w:hAnsi="Arial" w:cs="Arial"/>
                <w:bCs/>
              </w:rPr>
            </w:pPr>
            <w:r>
              <w:rPr>
                <w:rFonts w:ascii="Arial" w:eastAsia="MS Mincho" w:hAnsi="Arial" w:cs="Arial"/>
              </w:rPr>
              <w:t xml:space="preserve">Not feasible </w:t>
            </w:r>
            <w:r w:rsidRPr="00492106">
              <w:rPr>
                <w:rFonts w:ascii="Arial" w:eastAsia="MS Mincho" w:hAnsi="Arial" w:cs="Arial"/>
              </w:rPr>
              <w:t>Access to Drinking Water</w:t>
            </w:r>
          </w:p>
        </w:tc>
        <w:tc>
          <w:tcPr>
            <w:tcW w:w="1174" w:type="dxa"/>
            <w:shd w:val="clear" w:color="auto" w:fill="auto"/>
          </w:tcPr>
          <w:p w14:paraId="1038E06A"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1.38</w:t>
            </w:r>
          </w:p>
        </w:tc>
        <w:tc>
          <w:tcPr>
            <w:tcW w:w="1119" w:type="dxa"/>
            <w:shd w:val="clear" w:color="auto" w:fill="auto"/>
          </w:tcPr>
          <w:p w14:paraId="71060019"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0.051</w:t>
            </w:r>
          </w:p>
        </w:tc>
        <w:tc>
          <w:tcPr>
            <w:tcW w:w="1134" w:type="dxa"/>
            <w:shd w:val="clear" w:color="auto" w:fill="auto"/>
          </w:tcPr>
          <w:p w14:paraId="0E3EA4C3"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0.595</w:t>
            </w:r>
          </w:p>
        </w:tc>
        <w:tc>
          <w:tcPr>
            <w:tcW w:w="1091" w:type="dxa"/>
          </w:tcPr>
          <w:p w14:paraId="1443930D"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0.020</w:t>
            </w:r>
          </w:p>
        </w:tc>
      </w:tr>
      <w:tr w:rsidR="003C4FF2" w:rsidRPr="003C4FF2" w14:paraId="4D826932" w14:textId="77777777" w:rsidTr="003C4FF2">
        <w:tc>
          <w:tcPr>
            <w:tcW w:w="3519" w:type="dxa"/>
            <w:shd w:val="clear" w:color="auto" w:fill="auto"/>
          </w:tcPr>
          <w:p w14:paraId="16C28224" w14:textId="0CE4CAFB" w:rsidR="003C4FF2" w:rsidRPr="003C4FF2" w:rsidRDefault="00476CF1" w:rsidP="003C4FF2">
            <w:pPr>
              <w:pStyle w:val="ListParagraph"/>
              <w:spacing w:after="0" w:line="240" w:lineRule="auto"/>
              <w:ind w:left="326"/>
              <w:rPr>
                <w:rFonts w:ascii="Arial" w:eastAsia="Times New Roman" w:hAnsi="Arial" w:cs="Arial"/>
                <w:bCs/>
              </w:rPr>
            </w:pPr>
            <w:r>
              <w:rPr>
                <w:rFonts w:ascii="Arial" w:eastAsia="MS Mincho" w:hAnsi="Arial" w:cs="Arial"/>
              </w:rPr>
              <w:lastRenderedPageBreak/>
              <w:t>Not feasible A</w:t>
            </w:r>
            <w:r w:rsidRPr="00492106">
              <w:rPr>
                <w:rFonts w:ascii="Arial" w:eastAsia="MS Mincho" w:hAnsi="Arial" w:cs="Arial"/>
              </w:rPr>
              <w:t>ccess to Sanitation</w:t>
            </w:r>
          </w:p>
        </w:tc>
        <w:tc>
          <w:tcPr>
            <w:tcW w:w="1174" w:type="dxa"/>
            <w:shd w:val="clear" w:color="auto" w:fill="auto"/>
          </w:tcPr>
          <w:p w14:paraId="3F0757F3"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1.07</w:t>
            </w:r>
          </w:p>
        </w:tc>
        <w:tc>
          <w:tcPr>
            <w:tcW w:w="1119" w:type="dxa"/>
            <w:shd w:val="clear" w:color="auto" w:fill="auto"/>
          </w:tcPr>
          <w:p w14:paraId="17C5D9F3"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-0.359</w:t>
            </w:r>
          </w:p>
        </w:tc>
        <w:tc>
          <w:tcPr>
            <w:tcW w:w="1134" w:type="dxa"/>
            <w:shd w:val="clear" w:color="auto" w:fill="auto"/>
          </w:tcPr>
          <w:p w14:paraId="1C46FC7F"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0.499</w:t>
            </w:r>
          </w:p>
        </w:tc>
        <w:tc>
          <w:tcPr>
            <w:tcW w:w="1091" w:type="dxa"/>
          </w:tcPr>
          <w:p w14:paraId="6A5156F8"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0.751</w:t>
            </w:r>
          </w:p>
        </w:tc>
      </w:tr>
      <w:tr w:rsidR="003C4FF2" w:rsidRPr="003C4FF2" w14:paraId="36C1F9AC" w14:textId="77777777" w:rsidTr="003C4FF2">
        <w:tc>
          <w:tcPr>
            <w:tcW w:w="3519" w:type="dxa"/>
            <w:shd w:val="clear" w:color="auto" w:fill="auto"/>
          </w:tcPr>
          <w:p w14:paraId="1F0A7BBB" w14:textId="77777777" w:rsidR="003C4FF2" w:rsidRPr="003C4FF2" w:rsidRDefault="003C4FF2" w:rsidP="003C4FF2">
            <w:pPr>
              <w:pStyle w:val="ListParagraph"/>
              <w:spacing w:after="0" w:line="240" w:lineRule="auto"/>
              <w:ind w:left="0"/>
              <w:jc w:val="both"/>
              <w:rPr>
                <w:rFonts w:ascii="Arial" w:eastAsia="Times New Roman" w:hAnsi="Arial" w:cs="Arial"/>
                <w:b/>
                <w:i/>
                <w:iCs/>
              </w:rPr>
            </w:pPr>
            <w:r w:rsidRPr="003C4FF2">
              <w:rPr>
                <w:rFonts w:ascii="Arial" w:eastAsia="Times New Roman" w:hAnsi="Arial" w:cs="Arial"/>
                <w:b/>
                <w:i/>
                <w:iCs/>
              </w:rPr>
              <w:t>Random Effect</w:t>
            </w:r>
          </w:p>
        </w:tc>
        <w:tc>
          <w:tcPr>
            <w:tcW w:w="1174" w:type="dxa"/>
            <w:shd w:val="clear" w:color="auto" w:fill="auto"/>
          </w:tcPr>
          <w:p w14:paraId="7039833B"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119" w:type="dxa"/>
            <w:shd w:val="clear" w:color="auto" w:fill="auto"/>
          </w:tcPr>
          <w:p w14:paraId="696C6784"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134" w:type="dxa"/>
            <w:shd w:val="clear" w:color="auto" w:fill="auto"/>
          </w:tcPr>
          <w:p w14:paraId="7ECC212B"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091" w:type="dxa"/>
          </w:tcPr>
          <w:p w14:paraId="7821763D" w14:textId="77777777" w:rsidR="003C4FF2" w:rsidRPr="003C4FF2" w:rsidRDefault="003C4FF2" w:rsidP="003C4FF2">
            <w:pPr>
              <w:pStyle w:val="ListParagraph"/>
              <w:spacing w:after="0" w:line="240" w:lineRule="auto"/>
              <w:ind w:left="0"/>
              <w:jc w:val="both"/>
              <w:rPr>
                <w:rFonts w:ascii="Arial" w:eastAsia="Times New Roman" w:hAnsi="Arial" w:cs="Arial"/>
                <w:bCs/>
              </w:rPr>
            </w:pPr>
          </w:p>
        </w:tc>
      </w:tr>
      <w:tr w:rsidR="003C4FF2" w:rsidRPr="003C4FF2" w14:paraId="00010452" w14:textId="77777777" w:rsidTr="003C4FF2">
        <w:tc>
          <w:tcPr>
            <w:tcW w:w="3519" w:type="dxa"/>
            <w:shd w:val="clear" w:color="auto" w:fill="auto"/>
          </w:tcPr>
          <w:p w14:paraId="4A940A89" w14:textId="727BC2AD" w:rsidR="003C4FF2" w:rsidRPr="003C4FF2" w:rsidRDefault="00476CF1" w:rsidP="003C4FF2">
            <w:pPr>
              <w:pStyle w:val="ListParagraph"/>
              <w:spacing w:after="0" w:line="240" w:lineRule="auto"/>
              <w:ind w:left="326"/>
              <w:jc w:val="both"/>
              <w:rPr>
                <w:rFonts w:ascii="Arial" w:eastAsia="Times New Roman" w:hAnsi="Arial" w:cs="Arial"/>
                <w:bCs/>
              </w:rPr>
            </w:pPr>
            <w:r>
              <w:rPr>
                <w:rFonts w:ascii="Arial" w:eastAsia="Times New Roman" w:hAnsi="Arial" w:cs="Arial"/>
                <w:bCs/>
              </w:rPr>
              <w:t>District/citiy</w:t>
            </w:r>
          </w:p>
        </w:tc>
        <w:tc>
          <w:tcPr>
            <w:tcW w:w="1174" w:type="dxa"/>
            <w:shd w:val="clear" w:color="auto" w:fill="auto"/>
          </w:tcPr>
          <w:p w14:paraId="2C64F573"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119" w:type="dxa"/>
            <w:shd w:val="clear" w:color="auto" w:fill="auto"/>
          </w:tcPr>
          <w:p w14:paraId="382901C9"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134" w:type="dxa"/>
            <w:shd w:val="clear" w:color="auto" w:fill="auto"/>
          </w:tcPr>
          <w:p w14:paraId="18366107"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091" w:type="dxa"/>
          </w:tcPr>
          <w:p w14:paraId="7934F752" w14:textId="77777777" w:rsidR="003C4FF2" w:rsidRPr="003C4FF2" w:rsidRDefault="003C4FF2" w:rsidP="003C4FF2">
            <w:pPr>
              <w:pStyle w:val="ListParagraph"/>
              <w:spacing w:after="0" w:line="240" w:lineRule="auto"/>
              <w:ind w:left="0"/>
              <w:jc w:val="both"/>
              <w:rPr>
                <w:rFonts w:ascii="Arial" w:eastAsia="Times New Roman" w:hAnsi="Arial" w:cs="Arial"/>
                <w:bCs/>
              </w:rPr>
            </w:pPr>
          </w:p>
        </w:tc>
      </w:tr>
      <w:tr w:rsidR="003C4FF2" w:rsidRPr="003C4FF2" w14:paraId="1F289EFD" w14:textId="77777777" w:rsidTr="003C4FF2">
        <w:tc>
          <w:tcPr>
            <w:tcW w:w="3519" w:type="dxa"/>
            <w:shd w:val="clear" w:color="auto" w:fill="auto"/>
          </w:tcPr>
          <w:p w14:paraId="420F7742" w14:textId="77777777" w:rsidR="003C4FF2" w:rsidRPr="003C4FF2" w:rsidRDefault="003C4FF2" w:rsidP="003C4FF2">
            <w:pPr>
              <w:pStyle w:val="ListParagraph"/>
              <w:spacing w:after="0" w:line="240" w:lineRule="auto"/>
              <w:ind w:left="326"/>
              <w:jc w:val="both"/>
              <w:rPr>
                <w:rFonts w:ascii="Arial" w:eastAsia="Times New Roman" w:hAnsi="Arial" w:cs="Arial"/>
                <w:bCs/>
              </w:rPr>
            </w:pPr>
            <w:r w:rsidRPr="003C4FF2">
              <w:rPr>
                <w:rFonts w:ascii="Arial" w:eastAsia="Times New Roman" w:hAnsi="Arial" w:cs="Arial"/>
                <w:bCs/>
              </w:rPr>
              <w:t>Var (konstanta)</w:t>
            </w:r>
          </w:p>
        </w:tc>
        <w:tc>
          <w:tcPr>
            <w:tcW w:w="1174" w:type="dxa"/>
            <w:shd w:val="clear" w:color="auto" w:fill="auto"/>
          </w:tcPr>
          <w:p w14:paraId="665F0507"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0.06</w:t>
            </w:r>
          </w:p>
        </w:tc>
        <w:tc>
          <w:tcPr>
            <w:tcW w:w="1119" w:type="dxa"/>
            <w:shd w:val="clear" w:color="auto" w:fill="auto"/>
          </w:tcPr>
          <w:p w14:paraId="6650D461"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0.017</w:t>
            </w:r>
          </w:p>
        </w:tc>
        <w:tc>
          <w:tcPr>
            <w:tcW w:w="1134" w:type="dxa"/>
            <w:shd w:val="clear" w:color="auto" w:fill="auto"/>
          </w:tcPr>
          <w:p w14:paraId="45F06A39" w14:textId="77777777" w:rsidR="003C4FF2" w:rsidRPr="003C4FF2" w:rsidRDefault="003C4FF2" w:rsidP="003C4FF2">
            <w:pPr>
              <w:pStyle w:val="ListParagraph"/>
              <w:spacing w:after="0" w:line="240" w:lineRule="auto"/>
              <w:ind w:left="0"/>
              <w:jc w:val="center"/>
              <w:rPr>
                <w:rFonts w:ascii="Arial" w:eastAsia="Times New Roman" w:hAnsi="Arial" w:cs="Arial"/>
                <w:bCs/>
              </w:rPr>
            </w:pPr>
            <w:r w:rsidRPr="003C4FF2">
              <w:rPr>
                <w:rFonts w:ascii="Arial" w:eastAsia="Times New Roman" w:hAnsi="Arial" w:cs="Arial"/>
                <w:bCs/>
              </w:rPr>
              <w:t>0.265</w:t>
            </w:r>
          </w:p>
        </w:tc>
        <w:tc>
          <w:tcPr>
            <w:tcW w:w="1091" w:type="dxa"/>
          </w:tcPr>
          <w:p w14:paraId="3327F682" w14:textId="77777777" w:rsidR="003C4FF2" w:rsidRPr="003C4FF2" w:rsidRDefault="003C4FF2" w:rsidP="003C4FF2">
            <w:pPr>
              <w:pStyle w:val="ListParagraph"/>
              <w:spacing w:after="0" w:line="240" w:lineRule="auto"/>
              <w:ind w:left="0"/>
              <w:jc w:val="both"/>
              <w:rPr>
                <w:rFonts w:ascii="Arial" w:eastAsia="Times New Roman" w:hAnsi="Arial" w:cs="Arial"/>
                <w:bCs/>
              </w:rPr>
            </w:pPr>
          </w:p>
        </w:tc>
      </w:tr>
      <w:tr w:rsidR="003C4FF2" w:rsidRPr="003C4FF2" w14:paraId="05B27BB8" w14:textId="77777777" w:rsidTr="003C4FF2">
        <w:tc>
          <w:tcPr>
            <w:tcW w:w="3519" w:type="dxa"/>
            <w:shd w:val="clear" w:color="auto" w:fill="auto"/>
          </w:tcPr>
          <w:p w14:paraId="74680781" w14:textId="77777777" w:rsidR="003C4FF2" w:rsidRPr="003C4FF2" w:rsidRDefault="003C4FF2" w:rsidP="003C4FF2">
            <w:pPr>
              <w:pStyle w:val="ListParagraph"/>
              <w:spacing w:after="0" w:line="240" w:lineRule="auto"/>
              <w:ind w:left="326"/>
              <w:jc w:val="both"/>
              <w:rPr>
                <w:rFonts w:ascii="Arial" w:eastAsia="Times New Roman" w:hAnsi="Arial" w:cs="Arial"/>
                <w:bCs/>
              </w:rPr>
            </w:pPr>
            <w:r w:rsidRPr="003C4FF2">
              <w:rPr>
                <w:rFonts w:ascii="Arial" w:eastAsia="Times New Roman" w:hAnsi="Arial" w:cs="Arial"/>
                <w:bCs/>
              </w:rPr>
              <w:t>ICC                     = 2.0%</w:t>
            </w:r>
          </w:p>
        </w:tc>
        <w:tc>
          <w:tcPr>
            <w:tcW w:w="1174" w:type="dxa"/>
            <w:shd w:val="clear" w:color="auto" w:fill="auto"/>
          </w:tcPr>
          <w:p w14:paraId="55F4D786"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119" w:type="dxa"/>
            <w:shd w:val="clear" w:color="auto" w:fill="auto"/>
          </w:tcPr>
          <w:p w14:paraId="2CFD0CAB"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134" w:type="dxa"/>
            <w:shd w:val="clear" w:color="auto" w:fill="auto"/>
          </w:tcPr>
          <w:p w14:paraId="02DBBF90"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091" w:type="dxa"/>
          </w:tcPr>
          <w:p w14:paraId="435096B5" w14:textId="77777777" w:rsidR="003C4FF2" w:rsidRPr="003C4FF2" w:rsidRDefault="003C4FF2" w:rsidP="003C4FF2">
            <w:pPr>
              <w:pStyle w:val="ListParagraph"/>
              <w:spacing w:after="0" w:line="240" w:lineRule="auto"/>
              <w:ind w:left="0"/>
              <w:jc w:val="both"/>
              <w:rPr>
                <w:rFonts w:ascii="Arial" w:eastAsia="Times New Roman" w:hAnsi="Arial" w:cs="Arial"/>
                <w:bCs/>
              </w:rPr>
            </w:pPr>
          </w:p>
        </w:tc>
      </w:tr>
      <w:tr w:rsidR="003C4FF2" w:rsidRPr="003C4FF2" w14:paraId="1E088ECC" w14:textId="77777777" w:rsidTr="003C4FF2">
        <w:tc>
          <w:tcPr>
            <w:tcW w:w="3519" w:type="dxa"/>
            <w:tcBorders>
              <w:bottom w:val="single" w:sz="4" w:space="0" w:color="auto"/>
            </w:tcBorders>
            <w:shd w:val="clear" w:color="auto" w:fill="auto"/>
          </w:tcPr>
          <w:p w14:paraId="2B4103C8" w14:textId="77777777" w:rsidR="003C4FF2" w:rsidRPr="003C4FF2" w:rsidRDefault="003C4FF2" w:rsidP="003C4FF2">
            <w:pPr>
              <w:pStyle w:val="ListParagraph"/>
              <w:spacing w:after="0" w:line="240" w:lineRule="auto"/>
              <w:ind w:left="326"/>
              <w:jc w:val="both"/>
              <w:rPr>
                <w:rFonts w:ascii="Arial" w:eastAsia="Times New Roman" w:hAnsi="Arial" w:cs="Arial"/>
                <w:bCs/>
              </w:rPr>
            </w:pPr>
            <w:r w:rsidRPr="003C4FF2">
              <w:rPr>
                <w:rFonts w:ascii="Arial" w:eastAsia="Times New Roman" w:hAnsi="Arial" w:cs="Arial"/>
                <w:bCs/>
              </w:rPr>
              <w:t>Log likehood      = -858.0001</w:t>
            </w:r>
          </w:p>
        </w:tc>
        <w:tc>
          <w:tcPr>
            <w:tcW w:w="1174" w:type="dxa"/>
            <w:tcBorders>
              <w:bottom w:val="single" w:sz="4" w:space="0" w:color="auto"/>
            </w:tcBorders>
            <w:shd w:val="clear" w:color="auto" w:fill="auto"/>
          </w:tcPr>
          <w:p w14:paraId="783AE37F"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119" w:type="dxa"/>
            <w:tcBorders>
              <w:bottom w:val="single" w:sz="4" w:space="0" w:color="auto"/>
            </w:tcBorders>
            <w:shd w:val="clear" w:color="auto" w:fill="auto"/>
          </w:tcPr>
          <w:p w14:paraId="06368929"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134" w:type="dxa"/>
            <w:tcBorders>
              <w:bottom w:val="single" w:sz="4" w:space="0" w:color="auto"/>
            </w:tcBorders>
            <w:shd w:val="clear" w:color="auto" w:fill="auto"/>
          </w:tcPr>
          <w:p w14:paraId="75388D7C" w14:textId="77777777" w:rsidR="003C4FF2" w:rsidRPr="003C4FF2" w:rsidRDefault="003C4FF2" w:rsidP="003C4FF2">
            <w:pPr>
              <w:pStyle w:val="ListParagraph"/>
              <w:spacing w:after="0" w:line="240" w:lineRule="auto"/>
              <w:ind w:left="0"/>
              <w:jc w:val="both"/>
              <w:rPr>
                <w:rFonts w:ascii="Arial" w:eastAsia="Times New Roman" w:hAnsi="Arial" w:cs="Arial"/>
                <w:bCs/>
              </w:rPr>
            </w:pPr>
          </w:p>
        </w:tc>
        <w:tc>
          <w:tcPr>
            <w:tcW w:w="1091" w:type="dxa"/>
            <w:tcBorders>
              <w:bottom w:val="single" w:sz="4" w:space="0" w:color="auto"/>
            </w:tcBorders>
          </w:tcPr>
          <w:p w14:paraId="1598B29B" w14:textId="77777777" w:rsidR="003C4FF2" w:rsidRPr="003C4FF2" w:rsidRDefault="003C4FF2" w:rsidP="003C4FF2">
            <w:pPr>
              <w:pStyle w:val="ListParagraph"/>
              <w:spacing w:after="0" w:line="240" w:lineRule="auto"/>
              <w:ind w:left="0"/>
              <w:jc w:val="both"/>
              <w:rPr>
                <w:rFonts w:ascii="Arial" w:eastAsia="Times New Roman" w:hAnsi="Arial" w:cs="Arial"/>
                <w:bCs/>
              </w:rPr>
            </w:pPr>
          </w:p>
        </w:tc>
      </w:tr>
    </w:tbl>
    <w:p w14:paraId="054FB053" w14:textId="77777777" w:rsidR="00492106" w:rsidRDefault="00492106" w:rsidP="00492106">
      <w:pPr>
        <w:spacing w:after="0" w:line="240" w:lineRule="auto"/>
        <w:jc w:val="both"/>
        <w:rPr>
          <w:rFonts w:ascii="Arial" w:hAnsi="Arial" w:cs="Arial"/>
        </w:rPr>
      </w:pPr>
      <w:r w:rsidRPr="00492106">
        <w:rPr>
          <w:rFonts w:ascii="Arial" w:hAnsi="Arial" w:cs="Arial"/>
        </w:rPr>
        <w:t>*significant, p-value &lt; 0.05</w:t>
      </w:r>
    </w:p>
    <w:p w14:paraId="3570CC16" w14:textId="522C373B" w:rsidR="00492106" w:rsidRPr="00492106" w:rsidRDefault="00492106" w:rsidP="00492106">
      <w:pPr>
        <w:spacing w:after="0" w:line="240" w:lineRule="auto"/>
        <w:jc w:val="both"/>
        <w:rPr>
          <w:rFonts w:ascii="Arial" w:hAnsi="Arial" w:cs="Arial"/>
        </w:rPr>
      </w:pPr>
      <w:r w:rsidRPr="00492106">
        <w:rPr>
          <w:rFonts w:ascii="Arial" w:hAnsi="Arial" w:cs="Arial"/>
        </w:rPr>
        <w:t>OR = Odds Ratio</w:t>
      </w:r>
    </w:p>
    <w:p w14:paraId="7071D260" w14:textId="48B73CCC" w:rsidR="00492106" w:rsidRDefault="00492106" w:rsidP="00492106">
      <w:pPr>
        <w:spacing w:after="0" w:line="240" w:lineRule="auto"/>
        <w:jc w:val="both"/>
        <w:rPr>
          <w:rFonts w:ascii="Arial" w:hAnsi="Arial" w:cs="Arial"/>
        </w:rPr>
      </w:pPr>
      <w:r w:rsidRPr="00492106">
        <w:rPr>
          <w:rFonts w:ascii="Arial" w:hAnsi="Arial" w:cs="Arial"/>
        </w:rPr>
        <w:t>CI = Confident Interval</w:t>
      </w:r>
    </w:p>
    <w:p w14:paraId="2B9C9209" w14:textId="77777777" w:rsidR="002C47AF" w:rsidRPr="00492106" w:rsidRDefault="002C47AF" w:rsidP="00492106">
      <w:pPr>
        <w:spacing w:after="0" w:line="240" w:lineRule="auto"/>
        <w:jc w:val="both"/>
        <w:rPr>
          <w:rFonts w:ascii="Arial" w:hAnsi="Arial" w:cs="Arial"/>
        </w:rPr>
      </w:pPr>
    </w:p>
    <w:p w14:paraId="75F0563A" w14:textId="6464D1E9" w:rsidR="0031596B" w:rsidRPr="0031596B" w:rsidRDefault="0031596B" w:rsidP="0031596B">
      <w:pPr>
        <w:spacing w:line="360" w:lineRule="auto"/>
        <w:ind w:firstLine="567"/>
        <w:jc w:val="both"/>
        <w:rPr>
          <w:rFonts w:ascii="Arial" w:hAnsi="Arial" w:cs="Arial"/>
          <w:lang w:eastAsia="ko-KR"/>
        </w:rPr>
      </w:pPr>
      <w:r w:rsidRPr="0031596B">
        <w:rPr>
          <w:rFonts w:ascii="Arial" w:hAnsi="Arial" w:cs="Arial"/>
          <w:lang w:eastAsia="ko-KR"/>
        </w:rPr>
        <w:t xml:space="preserve">The multivariate analysis revealed that toddlers with an incomplete primary immunization history had a 1.35 times higher risk of stunting than toddlers who had gotten a full primary immunization (p = 0.021; OR = 1.35). </w:t>
      </w:r>
      <w:r w:rsidRPr="0031596B">
        <w:rPr>
          <w:rFonts w:ascii="Arial" w:hAnsi="Arial" w:cs="Arial"/>
        </w:rPr>
        <w:t>Several earlier research produced outcomes comparable to this one. In Indonesia, a study using IFLS-V secondary data found that immunization status was substantially linked with stunting in toddlers aged 12-59 months (p = 0.001; PR = 1.2; 95% CI = 1.14-1.6)</w:t>
      </w:r>
      <w:r w:rsidRPr="0031596B">
        <w:rPr>
          <w:rFonts w:ascii="Arial" w:eastAsia="Arial" w:hAnsi="Arial" w:cs="Arial"/>
          <w:bCs/>
        </w:rPr>
        <w:fldChar w:fldCharType="begin" w:fldLock="1"/>
      </w:r>
      <w:r w:rsidR="003528B5">
        <w:rPr>
          <w:rFonts w:ascii="Arial" w:eastAsia="Arial" w:hAnsi="Arial" w:cs="Arial"/>
          <w:bCs/>
        </w:rPr>
        <w:instrText>ADDIN CSL_CITATION {"citationItems":[{"id":"ITEM-1","itemData":{"DOI":"10.35308/j-kesmas.v7i2.1646","ISSN":"2355-0643","abstract":"Traffic accidents according to the World Health Organization are unexpected events that cause injury, damage, and also loss to the owner (victim) and can cause death or injuries both minor injuries and serious injuries. The number of passenger car accidents from Aceh Barat to Banda Aceh through the laneAceh Barat - Aceh Jaya crossing is high from 2018 with 62 cases (63.86%) and 2019 with 64 cases (65.92%) from January to January August. The high number of cases was influenced by driver fatigue, unsafety condition, unsafety action, Length of service and the feasibility of the driver's vehicle. This type of research is quantitative research using cross sectional. The sample method used is total sampling, that is, all populations used as research samples are 48 people.The analysis used is univariate analysis and bivariate analysis. The purpose of this study was to determine the relationship of fatigue, unsafety condition, unsafety action, years of service as well as the eligibility of vehicles with traffic accidents on the driver of passenger cars in Meulaboh type C terminal. The results showed that there was a relationship between unsafety condition and unsafety action with traffic accidents, which was P value &lt;0.05. Hereby it is suggested to the transportation department, the traffic unit, the land transportation organization to cooperate with each other in providing information about factors relating to traffic accidents as well.","author":[{"dropping-particle":"","family":"Mulyani","given":"Itza","non-dropping-particle":"","parse-names":false,"suffix":""},{"dropping-particle":"","family":"Khairunnas","given":"","non-dropping-particle":"","parse-names":false,"suffix":""},{"dropping-particle":"","family":"Ayunda","given":"Hanif Muchdatul","non-dropping-particle":"","parse-names":false,"suffix":""},{"dropping-particle":"","family":"Muliadi","given":"Teuku","non-dropping-particle":"","parse-names":false,"suffix":""},{"dropping-particle":"","family":"Syafiq","given":"Ahmad","non-dropping-particle":"","parse-names":false,"suffix":""},{"dropping-particle":"","family":"Ahmad","given":"Aripin","non-dropping-particle":"","parse-names":false,"suffix":""}],"container-title":"J-Kesmas: Jurnal Fakultas Kesehatan Masyarakat (The Indonesian Journal of Public Health)","id":"ITEM-1","issue":"1","issued":{"date-parts":[["2020"]]},"page":"11-14","title":"Relationship between Unsafety Action and Unsafe Conditions with Traffic Accidents in Passenger Car Drivers at Meulaboh Type C Terminal","type":"article-journal","volume":"10"},"uris":["http://www.mendeley.com/documents/?uuid=4f0fcb7e-ac8e-4f02-84f6-151341462ae1"]}],"mendeley":{"formattedCitation":"(27)","plainTextFormattedCitation":"(27)","previouslyFormattedCitation":"(27)"},"properties":{"noteIndex":0},"schema":"https://github.com/citation-style-language/schema/raw/master/csl-citation.json"}</w:instrText>
      </w:r>
      <w:r w:rsidRPr="0031596B">
        <w:rPr>
          <w:rFonts w:ascii="Arial" w:eastAsia="Arial" w:hAnsi="Arial" w:cs="Arial"/>
          <w:bCs/>
        </w:rPr>
        <w:fldChar w:fldCharType="separate"/>
      </w:r>
      <w:r w:rsidRPr="0031596B">
        <w:rPr>
          <w:rFonts w:ascii="Arial" w:eastAsia="Arial" w:hAnsi="Arial" w:cs="Arial"/>
          <w:bCs/>
          <w:noProof/>
        </w:rPr>
        <w:t>(27)</w:t>
      </w:r>
      <w:r w:rsidRPr="0031596B">
        <w:rPr>
          <w:rFonts w:ascii="Arial" w:eastAsia="Arial" w:hAnsi="Arial" w:cs="Arial"/>
          <w:bCs/>
        </w:rPr>
        <w:fldChar w:fldCharType="end"/>
      </w:r>
      <w:r w:rsidRPr="0031596B">
        <w:rPr>
          <w:rFonts w:ascii="Arial" w:eastAsia="Arial" w:hAnsi="Arial" w:cs="Arial"/>
          <w:bCs/>
        </w:rPr>
        <w:t>.</w:t>
      </w:r>
      <w:r w:rsidRPr="0031596B">
        <w:rPr>
          <w:rFonts w:ascii="Arial" w:hAnsi="Arial" w:cs="Arial"/>
        </w:rPr>
        <w:t xml:space="preserve"> </w:t>
      </w:r>
      <w:bookmarkStart w:id="3" w:name="_Hlk167658696"/>
      <w:r w:rsidRPr="0031596B">
        <w:rPr>
          <w:rFonts w:ascii="Arial" w:hAnsi="Arial" w:cs="Arial"/>
        </w:rPr>
        <w:t xml:space="preserve">Research by </w:t>
      </w:r>
      <w:bookmarkEnd w:id="3"/>
      <w:r w:rsidRPr="0031596B">
        <w:rPr>
          <w:rFonts w:ascii="Arial" w:hAnsi="Arial" w:cs="Arial"/>
        </w:rPr>
        <w:t>Doni et al., (2020) found a strong connection between complete primary vaccination status and the incidence of stunting in toddlers. Furthermore, another study revealed that immunization leads to the low incidence of stunting in children aged one to five years in East Jakarta</w:t>
      </w:r>
      <w:r w:rsidR="003528B5">
        <w:rPr>
          <w:rFonts w:ascii="Arial" w:hAnsi="Arial" w:cs="Arial"/>
        </w:rPr>
        <w:t xml:space="preserve"> </w:t>
      </w:r>
      <w:r w:rsidRPr="0031596B">
        <w:rPr>
          <w:rFonts w:ascii="Arial" w:eastAsia="Arial" w:hAnsi="Arial" w:cs="Arial"/>
          <w:bCs/>
        </w:rPr>
        <w:fldChar w:fldCharType="begin" w:fldLock="1"/>
      </w:r>
      <w:r w:rsidR="00843872">
        <w:rPr>
          <w:rFonts w:ascii="Arial" w:eastAsia="Arial" w:hAnsi="Arial" w:cs="Arial"/>
          <w:bCs/>
        </w:rPr>
        <w:instrText>ADDIN CSL_CITATION {"citationItems":[{"id":"ITEM-1","itemData":{"DOI":"10.25220/wnj.v06.i1.0003","abstract":"Stunting is a multifactorial condition where a toddler has less body length compared to their age. One of the factors is the immunization status of children, which can lead to susceptibility to infection and caused growth disturbance. This study was conducted to determine whether immunization plays a role as one of the interventions to prevent stunting in children age 1-5 years by using cross-sectional observational study with a total of 110 children aged 1-5 years who visited the Public Health Center of Jatinegara District, East Jakarta between September-November 2019. Questionnaires, anthropometric assessment using body length board and microtoice, and Z-score assessment were obtained during the study. The Chi-square test was performed for data analysis. The result of this study showed that 47,3% of respondents had incomplete immunization status, and 84.6% of child were stunted. Immunization plays a role as one of the factors preventing stunting in children age 1-5 years (p&lt;0,001). It can be concluded that immunization is one of the factors contributing to lowered incidence of stunting in children age 1-5 years.","author":[{"dropping-particle":"","family":"Theresia","given":"Gracia Natalia","non-dropping-particle":"","parse-names":false,"suffix":""},{"dropping-particle":"","family":"Sudarma","given":"Verawati","non-dropping-particle":"","parse-names":false,"suffix":""}],"container-title":"World Nutrition Journal","id":"ITEM-1","issue":"1","issued":{"date-parts":[["2022"]]},"page":"9-15","title":"Immunization Status Lowers The Incidence of Stunting in Children 1-5 Years","type":"article-journal","volume":"6"},"uris":["http://www.mendeley.com/documents/?uuid=18b17a98-7985-4b45-ba44-9f0b9fcc8a4c"]}],"mendeley":{"formattedCitation":"(28)","plainTextFormattedCitation":"(28)","previouslyFormattedCitation":"(28)"},"properties":{"noteIndex":0},"schema":"https://github.com/citation-style-language/schema/raw/master/csl-citation.json"}</w:instrText>
      </w:r>
      <w:r w:rsidRPr="0031596B">
        <w:rPr>
          <w:rFonts w:ascii="Arial" w:eastAsia="Arial" w:hAnsi="Arial" w:cs="Arial"/>
          <w:bCs/>
        </w:rPr>
        <w:fldChar w:fldCharType="separate"/>
      </w:r>
      <w:r w:rsidRPr="0031596B">
        <w:rPr>
          <w:rFonts w:ascii="Arial" w:eastAsia="Arial" w:hAnsi="Arial" w:cs="Arial"/>
          <w:bCs/>
          <w:noProof/>
        </w:rPr>
        <w:t>(28)</w:t>
      </w:r>
      <w:r w:rsidRPr="0031596B">
        <w:rPr>
          <w:rFonts w:ascii="Arial" w:eastAsia="Arial" w:hAnsi="Arial" w:cs="Arial"/>
          <w:bCs/>
        </w:rPr>
        <w:fldChar w:fldCharType="end"/>
      </w:r>
      <w:r w:rsidRPr="0031596B">
        <w:rPr>
          <w:rFonts w:ascii="Arial" w:eastAsia="Arial" w:hAnsi="Arial" w:cs="Arial"/>
          <w:bCs/>
        </w:rPr>
        <w:t>.</w:t>
      </w:r>
    </w:p>
    <w:p w14:paraId="2028F917" w14:textId="1BF5DAAA" w:rsidR="0031596B" w:rsidRPr="0031596B" w:rsidRDefault="0031596B" w:rsidP="0031596B">
      <w:pPr>
        <w:spacing w:line="360" w:lineRule="auto"/>
        <w:ind w:firstLine="567"/>
        <w:jc w:val="both"/>
        <w:rPr>
          <w:rFonts w:ascii="Arial" w:hAnsi="Arial" w:cs="Arial"/>
        </w:rPr>
      </w:pPr>
      <w:r w:rsidRPr="0031596B">
        <w:rPr>
          <w:rFonts w:ascii="Arial" w:hAnsi="Arial" w:cs="Arial"/>
        </w:rPr>
        <w:t>According to</w:t>
      </w:r>
      <w:r w:rsidRPr="0031596B">
        <w:rPr>
          <w:rFonts w:ascii="Arial" w:eastAsia="Arial" w:hAnsi="Arial" w:cs="Arial"/>
        </w:rPr>
        <w:t xml:space="preserve"> </w:t>
      </w:r>
      <w:r w:rsidRPr="0031596B">
        <w:rPr>
          <w:rFonts w:ascii="Arial" w:eastAsia="Arial" w:hAnsi="Arial" w:cs="Arial"/>
        </w:rPr>
        <w:fldChar w:fldCharType="begin" w:fldLock="1"/>
      </w:r>
      <w:r w:rsidR="003528B5">
        <w:rPr>
          <w:rFonts w:ascii="Arial" w:eastAsia="Arial" w:hAnsi="Arial" w:cs="Arial"/>
        </w:rPr>
        <w:instrText>ADDIN CSL_CITATION {"citationItems":[{"id":"ITEM-1","itemData":{"DOI":"10.21109/kesmas.v18i1.6405","ISSN":"24600601","abstract":"The COVID-19 pandemic has impacted the global decline in public health status. This study aimed to analyze the determinants of stunting in the under-five in three municipalities in the Special Capital Region of Jakarta, Indonesia. A cross-sectional study was conducted in August-December 2020 with 460 pairs of mothers and children selected by simple random sampling. Stunting was measured using a conventional anthropometric index (length/height-for-age), and anthropometric failure was measured using the Composite Index of Anthropometric Failure. The prevalence of stunting, underweight, and wasting was 41.5%, 35%, and 19.8%, respectively, and 62% of the under-five experienced anthropometric failure. The dominant factor associated with stunting was immunization record (p-value = 0.011; AOR = 2.360; 95% CI = 1.218-4.573). Children who did not receive complete basic immunization were at a 2.4 times greater risk of stunting than children who received complete basic immunization. The dominant factors associated with underweight, wasting, and anthropometric failure were the father's educational level, mother's occupation, and balanced nutrition practice. Increasing coverage of complete basic immunization, improving balanced nutrition practices and socioeconomic conditions is necessary to prevent undernutrition, especially stunting.","author":[{"dropping-particle":"","family":"Permatasari","given":"Tria A.E.","non-dropping-particle":"","parse-names":false,"suffix":""},{"dropping-particle":"","family":"Chairunnisa","given":"","non-dropping-particle":"","parse-names":false,"suffix":""},{"dropping-particle":"","family":"Djarir","given":"Hernani","non-dropping-particle":"","parse-names":false,"suffix":""},{"dropping-particle":"","family":"Herlina","given":"Lily","non-dropping-particle":"","parse-names":false,"suffix":""},{"dropping-particle":"","family":"Fauziah","given":"Munaya","non-dropping-particle":"","parse-names":false,"suffix":""},{"dropping-particle":"","family":"Andriyani","given":"","non-dropping-particle":"","parse-names":false,"suffix":""},{"dropping-particle":"","family":"Chadirin","given":"Yudi","non-dropping-particle":"","parse-names":false,"suffix":""}],"container-title":"Kesmas","id":"ITEM-1","issue":"1","issued":{"date-parts":[["2023"]]},"page":"32-40","title":"The Determinants of Stunting in the Under-five in Three Municipalities in the Special Capital Region of Jakarta","type":"article-journal","volume":"18"},"uris":["http://www.mendeley.com/documents/?uuid=c9b9c03a-b213-41d2-8c1f-3ef6cb644575"]}],"mendeley":{"formattedCitation":"(29)","manualFormatting":"Permatasari et al. (2023)","plainTextFormattedCitation":"(29)","previouslyFormattedCitation":"(29)"},"properties":{"noteIndex":0},"schema":"https://github.com/citation-style-language/schema/raw/master/csl-citation.json"}</w:instrText>
      </w:r>
      <w:r w:rsidRPr="0031596B">
        <w:rPr>
          <w:rFonts w:ascii="Arial" w:eastAsia="Arial" w:hAnsi="Arial" w:cs="Arial"/>
        </w:rPr>
        <w:fldChar w:fldCharType="separate"/>
      </w:r>
      <w:r w:rsidRPr="0031596B">
        <w:rPr>
          <w:rFonts w:ascii="Arial" w:eastAsia="Arial" w:hAnsi="Arial" w:cs="Arial"/>
          <w:noProof/>
        </w:rPr>
        <w:t>Permatasari et al. (2023)</w:t>
      </w:r>
      <w:r w:rsidRPr="0031596B">
        <w:rPr>
          <w:rFonts w:ascii="Arial" w:eastAsia="Arial" w:hAnsi="Arial" w:cs="Arial"/>
        </w:rPr>
        <w:fldChar w:fldCharType="end"/>
      </w:r>
      <w:r w:rsidRPr="0031596B">
        <w:rPr>
          <w:rFonts w:ascii="Arial" w:eastAsia="Arial" w:hAnsi="Arial" w:cs="Arial"/>
        </w:rPr>
        <w:t xml:space="preserve">, </w:t>
      </w:r>
      <w:r w:rsidRPr="0031596B">
        <w:rPr>
          <w:rFonts w:ascii="Arial" w:hAnsi="Arial" w:cs="Arial"/>
        </w:rPr>
        <w:t>immunization is the dominant factor associated with stunting</w:t>
      </w:r>
      <w:r w:rsidR="003528B5">
        <w:rPr>
          <w:rFonts w:ascii="Arial" w:hAnsi="Arial" w:cs="Arial"/>
        </w:rPr>
        <w:t xml:space="preserve"> </w:t>
      </w:r>
      <w:r w:rsidRPr="0031596B">
        <w:rPr>
          <w:rFonts w:ascii="Arial" w:eastAsia="Arial" w:hAnsi="Arial" w:cs="Arial"/>
        </w:rPr>
        <w:fldChar w:fldCharType="begin" w:fldLock="1"/>
      </w:r>
      <w:r w:rsidR="003528B5">
        <w:rPr>
          <w:rFonts w:ascii="Arial" w:eastAsia="Arial" w:hAnsi="Arial" w:cs="Arial"/>
        </w:rPr>
        <w:instrText>ADDIN CSL_CITATION {"citationItems":[{"id":"ITEM-1","itemData":{"DOI":"10.21109/kesmas.v18i1.6405","ISSN":"24600601","abstract":"The COVID-19 pandemic has impacted the global decline in public health status. This study aimed to analyze the determinants of stunting in the under-five in three municipalities in the Special Capital Region of Jakarta, Indonesia. A cross-sectional study was conducted in August-December 2020 with 460 pairs of mothers and children selected by simple random sampling. Stunting was measured using a conventional anthropometric index (length/height-for-age), and anthropometric failure was measured using the Composite Index of Anthropometric Failure. The prevalence of stunting, underweight, and wasting was 41.5%, 35%, and 19.8%, respectively, and 62% of the under-five experienced anthropometric failure. The dominant factor associated with stunting was immunization record (p-value = 0.011; AOR = 2.360; 95% CI = 1.218-4.573). Children who did not receive complete basic immunization were at a 2.4 times greater risk of stunting than children who received complete basic immunization. The dominant factors associated with underweight, wasting, and anthropometric failure were the father's educational level, mother's occupation, and balanced nutrition practice. Increasing coverage of complete basic immunization, improving balanced nutrition practices and socioeconomic conditions is necessary to prevent undernutrition, especially stunting.","author":[{"dropping-particle":"","family":"Permatasari","given":"Tria A.E.","non-dropping-particle":"","parse-names":false,"suffix":""},{"dropping-particle":"","family":"Chairunnisa","given":"","non-dropping-particle":"","parse-names":false,"suffix":""},{"dropping-particle":"","family":"Djarir","given":"Hernani","non-dropping-particle":"","parse-names":false,"suffix":""},{"dropping-particle":"","family":"Herlina","given":"Lily","non-dropping-particle":"","parse-names":false,"suffix":""},{"dropping-particle":"","family":"Fauziah","given":"Munaya","non-dropping-particle":"","parse-names":false,"suffix":""},{"dropping-particle":"","family":"Andriyani","given":"","non-dropping-particle":"","parse-names":false,"suffix":""},{"dropping-particle":"","family":"Chadirin","given":"Yudi","non-dropping-particle":"","parse-names":false,"suffix":""}],"container-title":"Kesmas","id":"ITEM-1","issue":"1","issued":{"date-parts":[["2023"]]},"page":"32-40","title":"The Determinants of Stunting in the Under-five in Three Municipalities in the Special Capital Region of Jakarta","type":"article-journal","volume":"18"},"uris":["http://www.mendeley.com/documents/?uuid=c9b9c03a-b213-41d2-8c1f-3ef6cb644575"]}],"mendeley":{"formattedCitation":"(29)","plainTextFormattedCitation":"(29)","previouslyFormattedCitation":"(29)"},"properties":{"noteIndex":0},"schema":"https://github.com/citation-style-language/schema/raw/master/csl-citation.json"}</w:instrText>
      </w:r>
      <w:r w:rsidRPr="0031596B">
        <w:rPr>
          <w:rFonts w:ascii="Arial" w:eastAsia="Arial" w:hAnsi="Arial" w:cs="Arial"/>
        </w:rPr>
        <w:fldChar w:fldCharType="separate"/>
      </w:r>
      <w:r w:rsidRPr="0031596B">
        <w:rPr>
          <w:rFonts w:ascii="Arial" w:eastAsia="Arial" w:hAnsi="Arial" w:cs="Arial"/>
          <w:noProof/>
        </w:rPr>
        <w:t>(29)</w:t>
      </w:r>
      <w:r w:rsidRPr="0031596B">
        <w:rPr>
          <w:rFonts w:ascii="Arial" w:eastAsia="Arial" w:hAnsi="Arial" w:cs="Arial"/>
        </w:rPr>
        <w:fldChar w:fldCharType="end"/>
      </w:r>
      <w:r w:rsidRPr="0031596B">
        <w:rPr>
          <w:rFonts w:ascii="Arial" w:eastAsia="Arial" w:hAnsi="Arial" w:cs="Arial"/>
        </w:rPr>
        <w:t xml:space="preserve">. </w:t>
      </w:r>
      <w:r w:rsidRPr="0031596B">
        <w:rPr>
          <w:rFonts w:ascii="Arial" w:hAnsi="Arial" w:cs="Arial"/>
        </w:rPr>
        <w:t xml:space="preserve">A literature study conducted by Doni et al. (2020) </w:t>
      </w:r>
      <w:r w:rsidRPr="0031596B">
        <w:rPr>
          <w:rFonts w:ascii="Arial" w:hAnsi="Arial" w:cs="Arial"/>
          <w:lang w:eastAsia="ko-KR"/>
        </w:rPr>
        <w:t>found that immunization is necessary for children because it stimulates the immune system to produce antibodies and cellular immunological responses to battle infections</w:t>
      </w:r>
      <w:r w:rsidRPr="0031596B">
        <w:rPr>
          <w:rFonts w:ascii="Arial" w:eastAsia="Arial" w:hAnsi="Arial" w:cs="Arial"/>
        </w:rPr>
        <w:fldChar w:fldCharType="begin" w:fldLock="1"/>
      </w:r>
      <w:r w:rsidR="003528B5">
        <w:rPr>
          <w:rFonts w:ascii="Arial" w:eastAsia="Arial" w:hAnsi="Arial" w:cs="Arial"/>
        </w:rPr>
        <w:instrText>ADDIN CSL_CITATION {"citationItems":[{"id":"ITEM-1","itemData":{"DOI":"10.32763/juke.v13i2.267","ISSN":"1907-6401","abstract":"Stunting merupakan kondisi gagal tumbuh pada anak akibat kekurangan gizi kronis sejak dalam kandungan sampai usia 2 tahun sehingga anak terlalu pendek untuk usianya. Data Riskesdas prevalensi stunting secara nasional tahun 2007 sebesar 36,8 %, tahun 2013 sebesar 37, 2% dan tahun 2018 sebesar 30,8% . Tujuan penelitian untuk mengetahui hubungan panjang badan lahir dan riwayat imunisasi dasar dengan kejadian stunting pada balita. Jenis penelitian ini adalah deskriptif dengan metode study literatur review jenis narrative review. Populasi penelitian ini Anak balita umur 12–59 bulan. Sampel penelitian dengan literatur yang diambil saat study literature review. Tahapan pengumpulan data berpedoman pada studi study literature review. Hasil penelitian ada hubungan panjang badan lahir dan riwayat imunisasi dasar dengan kejadian stunting dimana panjang badan lahir dapat memicu stunting dan riwayat imunisasi dasar yang tidak lengkap berisiko terjadinya stunitng. Kesimpulan diketahui mayoritas kejadian stunting terjadi pada anak balita. Disarankan kepada petugas kesehatan lebih meningkatkan upaya untuk mencegah stunitng di wilayah kerjanya masing-masing.","author":[{"dropping-particle":"","family":"Doni","given":"Alsri Windra","non-dropping-particle":"","parse-names":false,"suffix":""},{"dropping-particle":"","family":"Yusefni","given":"Elda","non-dropping-particle":"","parse-names":false,"suffix":""},{"dropping-particle":"","family":"Susanti","given":"Dewi","non-dropping-particle":"","parse-names":false,"suffix":""},{"dropping-particle":"","family":"Wulandari","given":"Putri Kartika","non-dropping-particle":"","parse-names":false,"suffix":""}],"container-title":"Jurnal Kesehatan","id":"ITEM-1","issue":"2","issued":{"date-parts":[["2020"]]},"page":"118-131","title":"Hubungan Panjang Badan Lahir dan Riwayat Imunisasi Dasar dengan Kejadian Stunting Balita","type":"article-journal","volume":"13"},"uris":["http://www.mendeley.com/documents/?uuid=a53c22f4-c660-4113-8db9-c88869f6287c"]}],"mendeley":{"formattedCitation":"(12)","plainTextFormattedCitation":"(12)","previouslyFormattedCitation":"(12)"},"properties":{"noteIndex":0},"schema":"https://github.com/citation-style-language/schema/raw/master/csl-citation.json"}</w:instrText>
      </w:r>
      <w:r w:rsidRPr="0031596B">
        <w:rPr>
          <w:rFonts w:ascii="Arial" w:eastAsia="Arial" w:hAnsi="Arial" w:cs="Arial"/>
        </w:rPr>
        <w:fldChar w:fldCharType="separate"/>
      </w:r>
      <w:r w:rsidRPr="0031596B">
        <w:rPr>
          <w:rFonts w:ascii="Arial" w:eastAsia="Arial" w:hAnsi="Arial" w:cs="Arial"/>
          <w:noProof/>
        </w:rPr>
        <w:t>(12)</w:t>
      </w:r>
      <w:r w:rsidRPr="0031596B">
        <w:rPr>
          <w:rFonts w:ascii="Arial" w:eastAsia="Arial" w:hAnsi="Arial" w:cs="Arial"/>
        </w:rPr>
        <w:fldChar w:fldCharType="end"/>
      </w:r>
      <w:r w:rsidRPr="0031596B">
        <w:rPr>
          <w:rFonts w:ascii="Arial" w:eastAsia="Arial" w:hAnsi="Arial" w:cs="Arial"/>
        </w:rPr>
        <w:t xml:space="preserve">. </w:t>
      </w:r>
      <w:r w:rsidRPr="0031596B">
        <w:rPr>
          <w:rFonts w:ascii="Arial" w:hAnsi="Arial" w:cs="Arial"/>
          <w:lang w:eastAsia="ko-KR"/>
        </w:rPr>
        <w:t xml:space="preserve">A complete immunization dose stimulates the development of memory cells against particular diseases in the body, preventing children from being exposed to pathogens. In contrast, children with incomplete  immunizations will be more at risk of exposure to infections, </w:t>
      </w:r>
      <w:r w:rsidRPr="0031596B">
        <w:rPr>
          <w:rFonts w:ascii="Arial" w:hAnsi="Arial" w:cs="Arial"/>
        </w:rPr>
        <w:t>stimulating the production of cytokines and leptin, which results in decreased appetite. Inadequate nutritional intake and high cytokine levels will cause growth disorders due to inhibition of growth hormone work</w:t>
      </w:r>
      <w:r w:rsidR="003528B5">
        <w:rPr>
          <w:rFonts w:ascii="Arial" w:hAnsi="Arial" w:cs="Arial"/>
        </w:rPr>
        <w:t xml:space="preserve"> </w:t>
      </w:r>
      <w:r w:rsidRPr="0031596B">
        <w:rPr>
          <w:rFonts w:ascii="Arial" w:eastAsia="Arial" w:hAnsi="Arial" w:cs="Arial"/>
        </w:rPr>
        <w:fldChar w:fldCharType="begin" w:fldLock="1"/>
      </w:r>
      <w:r w:rsidR="00843872">
        <w:rPr>
          <w:rFonts w:ascii="Arial" w:eastAsia="Arial" w:hAnsi="Arial" w:cs="Arial"/>
        </w:rPr>
        <w:instrText>ADDIN CSL_CITATION {"citationItems":[{"id":"ITEM-1","itemData":{"DOI":"10.1371/journal.pone.0187796","ISBN":"1111111111","ISSN":"19326203","PMID":"29121088","abstract":"Delivery of health care services to rural and remote populations in Papua New Guinea (PNG) is problematic. This is mainly due to difficulties with transportation and communication. Hence, the children in this region of PNG are likely to be at risk of malnutrition compounded by inadequate vaccination that may predispose them to preventable diseases. This study was conducted to determine the vaccination and nutritional status of children less than 5 years old in the remote and rural Karawari area of PNG. 105 children were included in the study, of whom 55% were male and 45% female. The mean age of children included in the study was 32.6 months. Their age, height, and weight by gender was not significantly different. Overall, 85% of children had incomplete vaccination. However, children above the median age of 32 months (34%) were more likely to be fully vaccinated for their age, χ2 (1) = 23.294, p &lt; 0.005. In addition, 25% of children were below the -1 SD (Z-scores) for weight-for—height, 33% below the -1 SD for weight-for-age, and 25.5% below the -1 SD for height-for-age compared to WHO standards. A large proportion of children had poor nutrition status and lack protection from vaccine preventable diseases. This study recommends that the government should introduce a surveillance system for detecting issues of importance to the rural majority. We also recommend that the PNG government reopen the nearby health centre, and/ or establish new facilities within the region, with adequately trained and compensated staff.","author":[{"dropping-particle":"","family":"Samiak","given":"Louis","non-dropping-particle":"","parse-names":false,"suffix":""},{"dropping-particle":"","family":"Emeto","given":"Theophilus I.","non-dropping-particle":"","parse-names":false,"suffix":""}],"container-title":"PLoS ONE","id":"ITEM-1","issue":"11","issued":{"date-parts":[["2017"]]},"page":"1-12","title":"Vaccination and nutritional status of children in Karawari, East Sepik Province, Papua New Guinea","type":"article-journal","volume":"12"},"uris":["http://www.mendeley.com/documents/?uuid=b544545e-d327-441a-b4bb-8cf5a7c99fdf"]},{"id":"ITEM-2","itemData":{"abstract":"Introduction. Stunting is a latent problem indicating a chronic malnutrition status during the child's growth since birth. The prevalence of stunting is caused by multiple factors. This research aims at analyzing the factors affecting the prevalence of stunting on children in the area of West Java Province, including the demographic social of the mother, the child, and the child's health status. Method. The research applies quantitative method. The number of respondents is 810. The research took place in 6 regencies/cities whose villages support family planning (Kampung Keluarga Berencana) such as Bandung City, Bandung Regency, West Bandung Regency, Subang Regency, Sumedang Regency, and Garut Regency. The quantitative analysis consists of a univariate using frequency percentage and distribution, as well as bivariate analysis using correlation test. Result. The result of this research shows that nearly all toddlers have a normal body height as much as 73.1%, while 23.8% others fall into the category of \"short\" or \"very short.\" Based on the factor analysis, there exists a relevance in such factors as mother's occupation (p = 0.010; OR = 0,532), delivery complications (p = 0,010; OR = 2,072), completeness of immunization distribution (p = 0,000; OR = 3,111), immunization schedule (p = 0,000; OR = 3,289), exclusive ASI (ASI) provision (p = 0,041; OR = 1,486), and child medical records (p = 0,044; OR = 1,649), while other factors are considered irrelevant. Conclusion. The suggestion for this research is that it requires cross-sectoral cooperation and improvement of the role of healthcare staff in educating mothers regarding complete immunization distribution on schedule, exclusive breastfeeding distribution, and prevention of contagious illness to children. Originality of the study is firstly observation on the stunting related to the prevalence and management in several regency/city in West Java Province.","author":[{"dropping-particle":"","family":"Rahayuwati","given":"Laili","non-dropping-particle":"","parse-names":false,"suffix":""},{"dropping-particle":"","family":"Nurhidayah","given":"Ikeu","non-dropping-particle":"","parse-names":false,"suffix":""},{"dropping-particle":"","family":"Hidayati","given":"Nur Oktavia","non-dropping-particle":"","parse-names":false,"suffix":""},{"dropping-particle":"","family":"Hendrawati","given":"Sri","non-dropping-particle":"","parse-names":false,"suffix":""},{"dropping-particle":"","family":"Agustina","given":"Habsyah Saparidah","non-dropping-particle":"","parse-names":false,"suffix":""},{"dropping-particle":"","family":"Ekawati","given":"Rindang","non-dropping-particle":"","parse-names":false,"suffix":""},{"dropping-particle":"","family":"Setiawan","given":"Alette Suzy","non-dropping-particle":"","parse-names":false,"suffix":""}],"container-title":"EurAsian Journal of BioSciences","id":"ITEM-2","issue":"1","issued":{"date-parts":[["2020"]]},"page":"6565-6575","title":"Analysis of Factors Affecting The Prevalence of Stunting on Children Under Five Years","type":"article-journal","volume":"14"},"uris":["http://www.mendeley.com/documents/?uuid=8dd750f5-7150-41de-81c2-fc553e22401d"]}],"mendeley":{"formattedCitation":"(30,31)","plainTextFormattedCitation":"(30,31)","previouslyFormattedCitation":"(30,31)"},"properties":{"noteIndex":0},"schema":"https://github.com/citation-style-language/schema/raw/master/csl-citation.json"}</w:instrText>
      </w:r>
      <w:r w:rsidRPr="0031596B">
        <w:rPr>
          <w:rFonts w:ascii="Arial" w:eastAsia="Arial" w:hAnsi="Arial" w:cs="Arial"/>
        </w:rPr>
        <w:fldChar w:fldCharType="separate"/>
      </w:r>
      <w:r w:rsidRPr="0031596B">
        <w:rPr>
          <w:rFonts w:ascii="Arial" w:eastAsia="Arial" w:hAnsi="Arial" w:cs="Arial"/>
          <w:noProof/>
        </w:rPr>
        <w:t>(30,31)</w:t>
      </w:r>
      <w:r w:rsidRPr="0031596B">
        <w:rPr>
          <w:rFonts w:ascii="Arial" w:eastAsia="Arial" w:hAnsi="Arial" w:cs="Arial"/>
        </w:rPr>
        <w:fldChar w:fldCharType="end"/>
      </w:r>
      <w:r w:rsidRPr="0031596B">
        <w:rPr>
          <w:rFonts w:ascii="Arial" w:eastAsia="Arial" w:hAnsi="Arial" w:cs="Arial"/>
        </w:rPr>
        <w:t xml:space="preserve">. </w:t>
      </w:r>
      <w:r w:rsidRPr="0031596B">
        <w:rPr>
          <w:rFonts w:ascii="Arial" w:hAnsi="Arial" w:cs="Arial"/>
        </w:rPr>
        <w:t>Research in rural areas, Yogyakarta reported that infectious diseases can cause stunting due to incomplete immunization, which can affect appetite and cause unbalanced nutritional intake</w:t>
      </w:r>
      <w:r w:rsidR="003528B5">
        <w:rPr>
          <w:rFonts w:ascii="Arial" w:hAnsi="Arial" w:cs="Arial"/>
        </w:rPr>
        <w:t xml:space="preserve"> </w:t>
      </w:r>
      <w:r w:rsidRPr="0031596B">
        <w:rPr>
          <w:rFonts w:ascii="Arial" w:eastAsia="Arial" w:hAnsi="Arial" w:cs="Arial"/>
        </w:rPr>
        <w:fldChar w:fldCharType="begin" w:fldLock="1"/>
      </w:r>
      <w:r w:rsidR="00843872">
        <w:rPr>
          <w:rFonts w:ascii="Arial" w:eastAsia="Arial" w:hAnsi="Arial" w:cs="Arial"/>
        </w:rPr>
        <w:instrText>ADDIN CSL_CITATION {"citationItems":[{"id":"ITEM-1","itemData":{"DOI":"10.3889/oamjms.2021.5593","ISSN":"18579655","abstract":"BACKGROUND: In Indonesia, health indicators in urban areas are better than in rural areas. It is related to the health services’ accessibility. However, in some regions, the stunting rate among children under five in urban areas is higher than in rural areas, including in Yogyakarta. AIM: The research purpose was to analyze the determinant factor influencing the stunting incidence in children under five in urban slums areas. MATERIALS AND METHODS: The study design employed a case control with a sample of mother and 29 children under five as a case group and 42 children under five as a control group in Yogyakarta District during the December– January 2020 period. The inclusion criteria were children aged 6–59 months living in the urban slum area, while the exclusion criteria were children who had physical and mental disabilities, suffering from illness or were hospitalized, and had congenital diseases. The data collection was conducted by questionnaire and anthropometric measurements. Data analysis used central tendency, Chi-square, and logistic regression. RESULTS: The results showed that the majority of children were girls in the case group and boys in the control group with a history of non-exclusive breastfeeding. Most respondents have mothers with low levels of education and work as housewives. The results of the correlation test showed that of the seven variables studied as a risk factor, there are two factors which were birth weight and mother occupation which were related with stunting in children under five with p = 0.041 and 0.047, respectively. CONCLUSION: This study concluded that birth weight (AOR = 3.49) and mother’s occupation (AOR = 0.25) are the determinant cause of stunting in children under 5 years of age in urban slums areas. The pregnant women’s health promotion needs to be improved because it will affect birth weight, a risk factor for stunting in children under five.","author":[{"dropping-particle":"","family":"Huriah","given":"Titih","non-dropping-particle":"","parse-names":false,"suffix":""},{"dropping-particle":"","family":"Handayani","given":"Putri","non-dropping-particle":"","parse-names":false,"suffix":""},{"dropping-particle":"","family":"Sudyasih","given":"Tiwi","non-dropping-particle":"","parse-names":false,"suffix":""},{"dropping-particle":"","family":"Susyanto","given":"Bambang Edi","non-dropping-particle":"","parse-names":false,"suffix":""}],"container-title":"Open Access Macedonian Journal of Medical Sciences","id":"ITEM-1","issue":"T4","issued":{"date-parts":[["2021"]]},"page":"1-5","title":"The Determinant Factors of Stunting Among Children in Urban Slums Area, Yogyakarta, Indonesia","type":"article-journal","volume":"9"},"uris":["http://www.mendeley.com/documents/?uuid=611359f6-a09c-4479-a5b0-00b6fd3e03ec"]}],"mendeley":{"formattedCitation":"(32)","plainTextFormattedCitation":"(32)","previouslyFormattedCitation":"(32)"},"properties":{"noteIndex":0},"schema":"https://github.com/citation-style-language/schema/raw/master/csl-citation.json"}</w:instrText>
      </w:r>
      <w:r w:rsidRPr="0031596B">
        <w:rPr>
          <w:rFonts w:ascii="Arial" w:eastAsia="Arial" w:hAnsi="Arial" w:cs="Arial"/>
        </w:rPr>
        <w:fldChar w:fldCharType="separate"/>
      </w:r>
      <w:r w:rsidRPr="0031596B">
        <w:rPr>
          <w:rFonts w:ascii="Arial" w:eastAsia="Arial" w:hAnsi="Arial" w:cs="Arial"/>
          <w:noProof/>
        </w:rPr>
        <w:t>(32)</w:t>
      </w:r>
      <w:r w:rsidRPr="0031596B">
        <w:rPr>
          <w:rFonts w:ascii="Arial" w:eastAsia="Arial" w:hAnsi="Arial" w:cs="Arial"/>
        </w:rPr>
        <w:fldChar w:fldCharType="end"/>
      </w:r>
      <w:r w:rsidRPr="0031596B">
        <w:rPr>
          <w:rFonts w:ascii="Arial" w:eastAsia="Arial" w:hAnsi="Arial" w:cs="Arial"/>
        </w:rPr>
        <w:t xml:space="preserve">. </w:t>
      </w:r>
    </w:p>
    <w:p w14:paraId="0D1867D3" w14:textId="77777777" w:rsidR="007D7356" w:rsidRDefault="0031596B" w:rsidP="007D7356">
      <w:pPr>
        <w:spacing w:line="360" w:lineRule="auto"/>
        <w:ind w:firstLine="567"/>
        <w:jc w:val="both"/>
        <w:rPr>
          <w:rFonts w:ascii="Arial" w:hAnsi="Arial" w:cs="Arial"/>
          <w:lang w:eastAsia="ko-KR"/>
        </w:rPr>
      </w:pPr>
      <w:r w:rsidRPr="007D7356">
        <w:rPr>
          <w:rFonts w:ascii="Arial" w:hAnsi="Arial" w:cs="Arial"/>
          <w:iCs/>
          <w:lang w:eastAsia="ko-KR"/>
        </w:rPr>
        <w:t>Immunization</w:t>
      </w:r>
      <w:r w:rsidRPr="0031596B">
        <w:rPr>
          <w:rFonts w:ascii="Arial" w:hAnsi="Arial" w:cs="Arial"/>
          <w:lang w:eastAsia="ko-KR"/>
        </w:rPr>
        <w:t xml:space="preserve"> is a government initiative to reduce the risk of stunting by strengthening the immune system and lowering morbidity and mortality from infectious diseases that can impair nutritional intake. Repeat infections raise the likelihood of stunting</w:t>
      </w:r>
      <w:r w:rsidR="003528B5">
        <w:rPr>
          <w:rFonts w:ascii="Arial" w:hAnsi="Arial" w:cs="Arial"/>
          <w:lang w:eastAsia="ko-KR"/>
        </w:rPr>
        <w:t xml:space="preserve"> </w:t>
      </w:r>
      <w:r w:rsidRPr="0031596B">
        <w:rPr>
          <w:rFonts w:ascii="Arial" w:eastAsia="Arial" w:hAnsi="Arial" w:cs="Arial"/>
          <w:i/>
          <w:iCs/>
        </w:rPr>
        <w:fldChar w:fldCharType="begin" w:fldLock="1"/>
      </w:r>
      <w:r w:rsidR="003528B5">
        <w:rPr>
          <w:rFonts w:ascii="Arial" w:eastAsia="Arial" w:hAnsi="Arial" w:cs="Arial"/>
          <w:i/>
          <w:iCs/>
        </w:rPr>
        <w:instrText>ADDIN CSL_CITATION {"citationItems":[{"id":"ITEM-1","itemData":{"DOI":"10.1111/mcn.12617","ISSN":"17408709","PMID":"29770565","abstract":"Child stunting reduction is the first of 6 goals in the Global Nutrition Targets for 2025 and a key indicator in the second Sustainable Development Goal of Zero Hunger. The prevalence of child stunting in Indonesia has remained high over the past decade, and at the national level is approximately 37%. It is unclear whether current approaches to reduce child stunting align with the scientific evidence in Indonesia. We use the World Health Organization conceptual framework on child stunting to review the available literature and identify what has been studied and can be concluded about the determinants of child stunting in Indonesia and where data gaps remain. Consistent evidence suggests nonexclusive breastfeeding for the first 6 months, low household socio-economic status, premature birth, short birth length, and low maternal height and education are particularly important child stunting determinants in Indonesia. Children from households with both unimproved latrines and untreated drinking water are also at increased risk. Community and societal factors—particularly, poor access to health care and living in rural areas—have been repeatedly associated with child stunting. Published studies are lacking on how education; society and culture; agriculture and food systems; and water, sanitation, and the environment contribute to child stunting. This comprehensive synthesis of the available evidence on child stunting determinants in Indonesia outlines who are the most vulnerable to stunting, which interventions have been most successful, and what new research is needed to fill knowledge gaps.","author":[{"dropping-particle":"","family":"Beal","given":"Ty","non-dropping-particle":"","parse-names":false,"suffix":""},{"dropping-particle":"","family":"Tumilowicz","given":"Alison","non-dropping-particle":"","parse-names":false,"suffix":""},{"dropping-particle":"","family":"Sutrisna","given":"Aang","non-dropping-particle":"","parse-names":false,"suffix":""},{"dropping-particle":"","family":"Izwardy","given":"Doddy","non-dropping-particle":"","parse-names":false,"suffix":""},{"dropping-particle":"","family":"Neufeld","given":"Lynnette M.","non-dropping-particle":"","parse-names":false,"suffix":""}],"container-title":"Maternal and Child Nutrition","id":"ITEM-1","issue":"4","issued":{"date-parts":[["2018"]]},"page":"1-10","title":"A review of child stunting determinants in Indonesia","type":"article-journal","volume":"14"},"uris":["http://www.mendeley.com/documents/?uuid=03a6a048-b469-4e75-83d5-c8d2c20f388f"]}],"mendeley":{"formattedCitation":"(33)","plainTextFormattedCitation":"(33)","previouslyFormattedCitation":"(33)"},"properties":{"noteIndex":0},"schema":"https://github.com/citation-style-language/schema/raw/master/csl-citation.json"}</w:instrText>
      </w:r>
      <w:r w:rsidRPr="0031596B">
        <w:rPr>
          <w:rFonts w:ascii="Arial" w:eastAsia="Arial" w:hAnsi="Arial" w:cs="Arial"/>
          <w:i/>
          <w:iCs/>
        </w:rPr>
        <w:fldChar w:fldCharType="separate"/>
      </w:r>
      <w:r w:rsidRPr="0031596B">
        <w:rPr>
          <w:rFonts w:ascii="Arial" w:eastAsia="Arial" w:hAnsi="Arial" w:cs="Arial"/>
          <w:iCs/>
          <w:noProof/>
        </w:rPr>
        <w:t>(33)</w:t>
      </w:r>
      <w:r w:rsidRPr="0031596B">
        <w:rPr>
          <w:rFonts w:ascii="Arial" w:eastAsia="Arial" w:hAnsi="Arial" w:cs="Arial"/>
          <w:i/>
          <w:iCs/>
        </w:rPr>
        <w:fldChar w:fldCharType="end"/>
      </w:r>
      <w:r w:rsidRPr="0031596B">
        <w:rPr>
          <w:rFonts w:ascii="Arial" w:eastAsia="Arial" w:hAnsi="Arial" w:cs="Arial"/>
          <w:i/>
          <w:iCs/>
        </w:rPr>
        <w:t xml:space="preserve">. </w:t>
      </w:r>
      <w:r w:rsidRPr="0031596B">
        <w:rPr>
          <w:rFonts w:ascii="Arial" w:hAnsi="Arial" w:cs="Arial"/>
          <w:lang w:eastAsia="ko-KR"/>
        </w:rPr>
        <w:t xml:space="preserve">According to this survey, 54% of respondents did not obtain complete </w:t>
      </w:r>
      <w:r w:rsidRPr="0031596B">
        <w:rPr>
          <w:rFonts w:ascii="Arial" w:hAnsi="Arial" w:cs="Arial"/>
          <w:lang w:eastAsia="ko-KR"/>
        </w:rPr>
        <w:lastRenderedPageBreak/>
        <w:t>immunization because most mothers claimed to have forgotten or did not know the schedule, their children were frequently sick, immunization were unavailable, and it was not time for immunization.</w:t>
      </w:r>
    </w:p>
    <w:p w14:paraId="2FA08CCF" w14:textId="005F0BF0" w:rsidR="007D7356" w:rsidRPr="008A224A" w:rsidRDefault="000C4DC3" w:rsidP="007D7356">
      <w:pPr>
        <w:spacing w:line="360" w:lineRule="auto"/>
        <w:ind w:firstLine="567"/>
        <w:jc w:val="both"/>
        <w:rPr>
          <w:rFonts w:ascii="Arial" w:hAnsi="Arial" w:cs="Arial"/>
          <w:lang w:eastAsia="ko-KR"/>
        </w:rPr>
      </w:pPr>
      <w:r w:rsidRPr="000C4DC3">
        <w:rPr>
          <w:rFonts w:ascii="Arial" w:eastAsia="Times New Roman" w:hAnsi="Arial" w:cs="Arial"/>
          <w:bCs/>
        </w:rPr>
        <w:t xml:space="preserve">According to research by </w:t>
      </w:r>
      <w:r w:rsidR="007D7356" w:rsidRPr="008A224A">
        <w:rPr>
          <w:rFonts w:ascii="Arial" w:eastAsia="Times New Roman" w:hAnsi="Arial" w:cs="Arial"/>
          <w:bCs/>
        </w:rPr>
        <w:fldChar w:fldCharType="begin" w:fldLock="1"/>
      </w:r>
      <w:r w:rsidR="00257C7E">
        <w:rPr>
          <w:rFonts w:ascii="Arial" w:eastAsia="Times New Roman" w:hAnsi="Arial" w:cs="Arial"/>
          <w:bCs/>
        </w:rPr>
        <w:instrText>ADDIN CSL_CITATION {"citationItems":[{"id":"ITEM-1","itemData":{"DOI":"10.32883/mchc.v5i1.2388","ISSN":"2686-4665","abstract":"According to the World Health Organization (WHO), in 2018 there were around 20 million children in the world who did not get complete immunizations. One indicator of the success of thecomplete basic immunization programis the achievement of complete basic immunization (IDL) in Indonesia reaching 87.8% and needs to be increased to reach the target of 93%. The purpose of this study was to determine the factors that influence the provision of complete basic immunization to infants (aged 0-12 months) during the COVID-19 pandemic in the city of Padang in 2021.The research method used mixed methods, quantitative used a cross-sectional approach and qualitative used a phenomenological approach. It was carried out in July-August2021, a sample of 91 people, namely babies at the Ambacang Health Center and Lapai Health Centerin 2021 and 17 informants. Data analysis with Chi Square Test and logistic regression test is to obtain and obtain descriptions, analyzes, interpretation and factors that most influence the Complete Basic Immunization Factors in Infants at Ambacang Health Center and Lapai Health Center Padang City in 2021.Research Results The results of the Chi-Square statistical test on knowledge (0.017), attitude (0.002), mother's perception 0.000), education 0.005), family support (0.020), the role of health workers (0.003), it can be concluded that there is an influence of knowledge, attitude, mother's perception, education, family support, the role of health workers by providing complete basic immunization to infants (aged 0-12 months. Conclusion The most dominant factor influencing complete basic immunization in infants is the mother's perception (p-value 0.000). It is suggested that the Puskesmas can increase the perception of mothers by formulating policies and strategies for health programs, especially those related to the complete basic immunization program for infants in the future. Keywords: Complete Basic Immunization, Covid 19, Knowledge, Education, Attitude, Perception,Family Support, Role of Health Workers","author":[{"dropping-particle":"","family":"Arpen","given":"Ratih Septiana","non-dropping-particle":"","parse-names":false,"suffix":""},{"dropping-particle":"","family":"Afnas","given":"Nur Hidayah","non-dropping-particle":"","parse-names":false,"suffix":""}],"container-title":"Maternal Child Health Care","id":"ITEM-1","issue":"1","issued":{"date-parts":[["2023"]]},"page":"795-907","title":"Analisis Faktor-Faktor Yang Mempengaruhi Pemberian Imunisasi Dasar Lengkap Pada Bayi","type":"article-journal","volume":"5"},"uris":["http://www.mendeley.com/documents/?uuid=d1f74951-d46d-4607-a07c-4fb1095a2a63"]}],"mendeley":{"formattedCitation":"(34)","manualFormatting":"Arpen and Afnas (2023)","plainTextFormattedCitation":"(34)","previouslyFormattedCitation":"(34)"},"properties":{"noteIndex":0},"schema":"https://github.com/citation-style-language/schema/raw/master/csl-citation.json"}</w:instrText>
      </w:r>
      <w:r w:rsidR="007D7356" w:rsidRPr="008A224A">
        <w:rPr>
          <w:rFonts w:ascii="Arial" w:eastAsia="Times New Roman" w:hAnsi="Arial" w:cs="Arial"/>
          <w:bCs/>
        </w:rPr>
        <w:fldChar w:fldCharType="separate"/>
      </w:r>
      <w:r w:rsidR="007D7356" w:rsidRPr="008A224A">
        <w:rPr>
          <w:rFonts w:ascii="Arial" w:eastAsia="Times New Roman" w:hAnsi="Arial" w:cs="Arial"/>
          <w:bCs/>
          <w:noProof/>
        </w:rPr>
        <w:t xml:space="preserve">Arpen </w:t>
      </w:r>
      <w:r w:rsidR="00257C7E">
        <w:rPr>
          <w:rFonts w:ascii="Arial" w:eastAsia="Times New Roman" w:hAnsi="Arial" w:cs="Arial"/>
          <w:bCs/>
          <w:noProof/>
        </w:rPr>
        <w:t>and</w:t>
      </w:r>
      <w:r w:rsidR="007D7356" w:rsidRPr="008A224A">
        <w:rPr>
          <w:rFonts w:ascii="Arial" w:eastAsia="Times New Roman" w:hAnsi="Arial" w:cs="Arial"/>
          <w:bCs/>
          <w:noProof/>
        </w:rPr>
        <w:t xml:space="preserve"> Afnas (2023)</w:t>
      </w:r>
      <w:r w:rsidR="007D7356" w:rsidRPr="008A224A">
        <w:rPr>
          <w:rFonts w:ascii="Arial" w:eastAsia="Times New Roman" w:hAnsi="Arial" w:cs="Arial"/>
          <w:bCs/>
        </w:rPr>
        <w:fldChar w:fldCharType="end"/>
      </w:r>
      <w:r w:rsidR="007D7356" w:rsidRPr="008A224A">
        <w:rPr>
          <w:rFonts w:ascii="Arial" w:eastAsia="Times New Roman" w:hAnsi="Arial" w:cs="Arial"/>
          <w:bCs/>
        </w:rPr>
        <w:t xml:space="preserve">, </w:t>
      </w:r>
      <w:r w:rsidR="008A224A" w:rsidRPr="008A224A">
        <w:rPr>
          <w:rFonts w:ascii="Arial" w:eastAsia="Times New Roman" w:hAnsi="Arial" w:cs="Arial"/>
          <w:bCs/>
        </w:rPr>
        <w:t xml:space="preserve">the provision of primary immunization to toddlers can be influenced by knowledge, attitudes, education, and perceptions of mothers, family support, and the role of health workers </w:t>
      </w:r>
      <w:r w:rsidR="008A224A" w:rsidRPr="008A224A">
        <w:rPr>
          <w:rFonts w:ascii="Arial" w:eastAsia="Times New Roman" w:hAnsi="Arial" w:cs="Arial"/>
          <w:bCs/>
        </w:rPr>
        <w:fldChar w:fldCharType="begin" w:fldLock="1"/>
      </w:r>
      <w:r w:rsidR="008A224A" w:rsidRPr="008A224A">
        <w:rPr>
          <w:rFonts w:ascii="Arial" w:eastAsia="Times New Roman" w:hAnsi="Arial" w:cs="Arial"/>
          <w:bCs/>
        </w:rPr>
        <w:instrText>ADDIN CSL_CITATION {"citationItems":[{"id":"ITEM-1","itemData":{"DOI":"10.32883/mchc.v5i1.2388","ISSN":"2686-4665","abstract":"According to the World Health Organization (WHO), in 2018 there were around 20 million children in the world who did not get complete immunizations. One indicator of the success of thecomplete basic immunization programis the achievement of complete basic immunization (IDL) in Indonesia reaching 87.8% and needs to be increased to reach the target of 93%. The purpose of this study was to determine the factors that influence the provision of complete basic immunization to infants (aged 0-12 months) during the COVID-19 pandemic in the city of Padang in 2021.The research method used mixed methods, quantitative used a cross-sectional approach and qualitative used a phenomenological approach. It was carried out in July-August2021, a sample of 91 people, namely babies at the Ambacang Health Center and Lapai Health Centerin 2021 and 17 informants. Data analysis with Chi Square Test and logistic regression test is to obtain and obtain descriptions, analyzes, interpretation and factors that most influence the Complete Basic Immunization Factors in Infants at Ambacang Health Center and Lapai Health Center Padang City in 2021.Research Results The results of the Chi-Square statistical test on knowledge (0.017), attitude (0.002), mother's perception 0.000), education 0.005), family support (0.020), the role of health workers (0.003), it can be concluded that there is an influence of knowledge, attitude, mother's perception, education, family support, the role of health workers by providing complete basic immunization to infants (aged 0-12 months. Conclusion The most dominant factor influencing complete basic immunization in infants is the mother's perception (p-value 0.000). It is suggested that the Puskesmas can increase the perception of mothers by formulating policies and strategies for health programs, especially those related to the complete basic immunization program for infants in the future. Keywords: Complete Basic Immunization, Covid 19, Knowledge, Education, Attitude, Perception,Family Support, Role of Health Workers","author":[{"dropping-particle":"","family":"Arpen","given":"Ratih Septiana","non-dropping-particle":"","parse-names":false,"suffix":""},{"dropping-particle":"","family":"Afnas","given":"Nur Hidayah","non-dropping-particle":"","parse-names":false,"suffix":""}],"container-title":"Maternal Child Health Care","id":"ITEM-1","issue":"1","issued":{"date-parts":[["2023"]]},"page":"795-907","title":"Analisis Faktor-Faktor Yang Mempengaruhi Pemberian Imunisasi Dasar Lengkap Pada Bayi","type":"article-journal","volume":"5"},"uris":["http://www.mendeley.com/documents/?uuid=d1f74951-d46d-4607-a07c-4fb1095a2a63"]}],"mendeley":{"formattedCitation":"(34)","plainTextFormattedCitation":"(34)","previouslyFormattedCitation":"(34)"},"properties":{"noteIndex":0},"schema":"https://github.com/citation-style-language/schema/raw/master/csl-citation.json"}</w:instrText>
      </w:r>
      <w:r w:rsidR="008A224A" w:rsidRPr="008A224A">
        <w:rPr>
          <w:rFonts w:ascii="Arial" w:eastAsia="Times New Roman" w:hAnsi="Arial" w:cs="Arial"/>
          <w:bCs/>
        </w:rPr>
        <w:fldChar w:fldCharType="separate"/>
      </w:r>
      <w:r w:rsidR="008A224A" w:rsidRPr="008A224A">
        <w:rPr>
          <w:rFonts w:ascii="Arial" w:eastAsia="Times New Roman" w:hAnsi="Arial" w:cs="Arial"/>
          <w:bCs/>
          <w:noProof/>
        </w:rPr>
        <w:t>(34)</w:t>
      </w:r>
      <w:r w:rsidR="008A224A" w:rsidRPr="008A224A">
        <w:rPr>
          <w:rFonts w:ascii="Arial" w:eastAsia="Times New Roman" w:hAnsi="Arial" w:cs="Arial"/>
          <w:bCs/>
        </w:rPr>
        <w:fldChar w:fldCharType="end"/>
      </w:r>
      <w:r w:rsidR="008A224A" w:rsidRPr="008A224A">
        <w:rPr>
          <w:rFonts w:ascii="Arial" w:eastAsia="Times New Roman" w:hAnsi="Arial" w:cs="Arial"/>
          <w:bCs/>
        </w:rPr>
        <w:t xml:space="preserve">. A high level of knowledge will make it easier for someone to accept the information received. Still, if it is not supported by family support and the role of health workers, complete primary immunization will not be achieved. The role of good health workers, such as reminding mothers of the schedule of immunization and providing education related to the importance of immunization, can certainly cause mothers to have a positive perception so that mothers will provide complete primary immunization to their toddlers </w:t>
      </w:r>
      <w:r w:rsidR="008A224A" w:rsidRPr="008A224A">
        <w:rPr>
          <w:rFonts w:ascii="Arial" w:eastAsia="Times New Roman" w:hAnsi="Arial" w:cs="Arial"/>
          <w:bCs/>
        </w:rPr>
        <w:fldChar w:fldCharType="begin" w:fldLock="1"/>
      </w:r>
      <w:r w:rsidR="007E4C72">
        <w:rPr>
          <w:rFonts w:ascii="Arial" w:eastAsia="Times New Roman" w:hAnsi="Arial" w:cs="Arial"/>
          <w:bCs/>
        </w:rPr>
        <w:instrText>ADDIN CSL_CITATION {"citationItems":[{"id":"ITEM-1","itemData":{"ISSN":"2721-6993","abstract":"Latar Belakang: Imunisasi dasar lengkap adalah imunisasi yang di selenggarakan oleh pemerintah yang bertujuan untuk meningkatkan taraf kesehatan bayi di Indonesia yang di berikan mulai dari bayi lahir yakni hepatitis B sampai dengan umur sembilan bulan yakni campak, berdasarkan studi pendahuluan di Kelurahan Tlogowaru RW 05 di Wilayah Puskesmas Arjowinangun Kota Malang pada tanggal 06 Desember 2016 s/d 08 Desember 2016 terdapat jumlah total bayi usia 12-23 bulan sebanyak 65 bayi mendapatkan imunisasi dasar lengkap Tujuan: untuk menganalisis faktor-faktor yang mempengaruhi pemberian imunisasi dasar lengkap pada bayi usia 12-23 bulan di kelurahan Tlogowaru RW 05 di wilayah Puskesmas Arjowinangun Kota Malang. Metode: Metodologi penelitian ini merupakan penelitian kuantitatif menggunakan pendekatan secara deduktif, logik, empiris dan dapat diukur. Subyek penelitian ini adalah 65 ibu yang memiliki bayi usia 12-23 bulan di Kelurahan Tlogowaru Wilayah Puskesmas Arjowinangun yang diambil menggunakan Probability Sampling. Hasil: dari 56 responden adalah 8 orang ibu yang berpengetahuan kurang, 8 diantaranya tidak memberikan memberikan imunisasi dasar lengkap (100%), dari 14 responden ibu yang bekerja sebagai petani, 2 diantaranya tidak memberikan imunisasi dasar lengkap (14,2%), dari 11 responden keluarga yang tidak mendukung, 11 diantaranya memberikan imunisasi dasar lengkap (19,6). Kesimpulan dan saran: Setelah dilakukan analisis menggunakan uji Chi -Squaer, di peroleh adanya faktor yang mempengaruhi sebesar (0,000), sehingga H0 di tolak, H1 diterima yang artinya “Ada pengaruh faktor pengetahuan terhadap pemberian imunisasi dasar lengkap pada bayi usia 12-23 bulan di Kelurahan Tlogowaru RW 05 di Wilayah Puskesmas Arjowinangun Kota Malang”. Diharapkan hasil penelitian ini dapat menambah informasi ibu mengenai pemberian imunisasi dasar lengkap dan dapat meningkatkan Pemberian Imunisasi Dasar Lengkap.","author":[{"dropping-particle":"","family":"Ratnaningsih","given":"Titin","non-dropping-particle":"","parse-names":false,"suffix":""},{"dropping-particle":"","family":"Prisusanti","given":"Retno Dewi","non-dropping-particle":"","parse-names":false,"suffix":""}],"container-title":"Health Care Media","id":"ITEM-1","issue":"2","issued":{"date-parts":[["2020"]]},"page":"70-73","title":"Faktor-Faktor Yang Mempengaruhi Pemberian Imunisasi Dasar Lengkap Pada Bayi Usia 12-23 Di Kelurahan Tlogowaru Kota Malang","type":"article-journal","volume":"4"},"uris":["http://www.mendeley.com/documents/?uuid=9ad62116-c921-4977-ad04-67d56304e742"]},{"id":"ITEM-2","itemData":{"DOI":"10.32883/mchc.v5i1.2388","ISSN":"2686-4665","abstract":"According to the World Health Organization (WHO), in 2018 there were around 20 million children in the world who did not get complete immunizations. One indicator of the success of thecomplete basic immunization programis the achievement of complete basic immunization (IDL) in Indonesia reaching 87.8% and needs to be increased to reach the target of 93%. The purpose of this study was to determine the factors that influence the provision of complete basic immunization to infants (aged 0-12 months) during the COVID-19 pandemic in the city of Padang in 2021.The research method used mixed methods, quantitative used a cross-sectional approach and qualitative used a phenomenological approach. It was carried out in July-August2021, a sample of 91 people, namely babies at the Ambacang Health Center and Lapai Health Centerin 2021 and 17 informants. Data analysis with Chi Square Test and logistic regression test is to obtain and obtain descriptions, analyzes, interpretation and factors that most influence the Complete Basic Immunization Factors in Infants at Ambacang Health Center and Lapai Health Center Padang City in 2021.Research Results The results of the Chi-Square statistical test on knowledge (0.017), attitude (0.002), mother's perception 0.000), education 0.005), family support (0.020), the role of health workers (0.003), it can be concluded that there is an influence of knowledge, attitude, mother's perception, education, family support, the role of health workers by providing complete basic immunization to infants (aged 0-12 months. Conclusion The most dominant factor influencing complete basic immunization in infants is the mother's perception (p-value 0.000). It is suggested that the Puskesmas can increase the perception of mothers by formulating policies and strategies for health programs, especially those related to the complete basic immunization program for infants in the future. Keywords: Complete Basic Immunization, Covid 19, Knowledge, Education, Attitude, Perception,Family Support, Role of Health Workers","author":[{"dropping-particle":"","family":"Arpen","given":"Ratih Septiana","non-dropping-particle":"","parse-names":false,"suffix":""},{"dropping-particle":"","family":"Afnas","given":"Nur Hidayah","non-dropping-particle":"","parse-names":false,"suffix":""}],"container-title":"Maternal Child Health Care","id":"ITEM-2","issue":"1","issued":{"date-parts":[["2023"]]},"page":"795-907","title":"Analisis Faktor-Faktor Yang Mempengaruhi Pemberian Imunisasi Dasar Lengkap Pada Bayi","type":"article-journal","volume":"5"},"uris":["http://www.mendeley.com/documents/?uuid=d1f74951-d46d-4607-a07c-4fb1095a2a63"]}],"mendeley":{"formattedCitation":"(34,35)","plainTextFormattedCitation":"(34,35)","previouslyFormattedCitation":"(34,35)"},"properties":{"noteIndex":0},"schema":"https://github.com/citation-style-language/schema/raw/master/csl-citation.json"}</w:instrText>
      </w:r>
      <w:r w:rsidR="008A224A" w:rsidRPr="008A224A">
        <w:rPr>
          <w:rFonts w:ascii="Arial" w:eastAsia="Times New Roman" w:hAnsi="Arial" w:cs="Arial"/>
          <w:bCs/>
        </w:rPr>
        <w:fldChar w:fldCharType="separate"/>
      </w:r>
      <w:r w:rsidR="008A224A" w:rsidRPr="008A224A">
        <w:rPr>
          <w:rFonts w:ascii="Arial" w:eastAsia="Times New Roman" w:hAnsi="Arial" w:cs="Arial"/>
          <w:bCs/>
          <w:noProof/>
        </w:rPr>
        <w:t>(34,35)</w:t>
      </w:r>
      <w:r w:rsidR="008A224A" w:rsidRPr="008A224A">
        <w:rPr>
          <w:rFonts w:ascii="Arial" w:eastAsia="Times New Roman" w:hAnsi="Arial" w:cs="Arial"/>
          <w:bCs/>
        </w:rPr>
        <w:fldChar w:fldCharType="end"/>
      </w:r>
      <w:r w:rsidR="008A224A" w:rsidRPr="008A224A">
        <w:rPr>
          <w:rFonts w:ascii="Arial" w:eastAsia="Times New Roman" w:hAnsi="Arial" w:cs="Arial"/>
          <w:bCs/>
        </w:rPr>
        <w:t>.</w:t>
      </w:r>
    </w:p>
    <w:p w14:paraId="61EE7F8C" w14:textId="400C6328" w:rsidR="0031596B" w:rsidRPr="0031596B" w:rsidRDefault="00492106" w:rsidP="0031596B">
      <w:pPr>
        <w:spacing w:line="360" w:lineRule="auto"/>
        <w:ind w:firstLine="567"/>
        <w:jc w:val="both"/>
        <w:rPr>
          <w:rFonts w:ascii="Arial" w:hAnsi="Arial" w:cs="Arial"/>
        </w:rPr>
      </w:pPr>
      <w:r w:rsidRPr="0085453B">
        <w:rPr>
          <w:rFonts w:ascii="Arial" w:hAnsi="Arial" w:cs="Arial"/>
          <w:lang w:eastAsia="ko-KR"/>
        </w:rPr>
        <w:t xml:space="preserve">The findings indicate that </w:t>
      </w:r>
      <w:r w:rsidR="003179E9" w:rsidRPr="0085453B">
        <w:rPr>
          <w:rFonts w:ascii="Arial" w:hAnsi="Arial" w:cs="Arial"/>
          <w:lang w:eastAsia="ko-KR"/>
        </w:rPr>
        <w:t>Inadequate access to drinking water</w:t>
      </w:r>
      <w:r w:rsidR="003179E9" w:rsidRPr="0085453B">
        <w:rPr>
          <w:rFonts w:ascii="Arial" w:hAnsi="Arial" w:cs="Arial"/>
          <w:i/>
          <w:iCs/>
          <w:lang w:eastAsia="ko-KR"/>
        </w:rPr>
        <w:t> </w:t>
      </w:r>
      <w:r w:rsidRPr="0085453B">
        <w:rPr>
          <w:rFonts w:ascii="Arial" w:hAnsi="Arial" w:cs="Arial"/>
          <w:lang w:eastAsia="ko-KR"/>
        </w:rPr>
        <w:t xml:space="preserve"> was the most important factor impacting the prevalence of stunting among toddlers aged 12-23 months in Lampung Province.</w:t>
      </w:r>
      <w:bookmarkStart w:id="4" w:name="_Hlk169783632"/>
      <w:r w:rsidRPr="0085453B">
        <w:rPr>
          <w:rFonts w:ascii="Arial" w:hAnsi="Arial" w:cs="Arial"/>
          <w:lang w:eastAsia="ko-KR"/>
        </w:rPr>
        <w:t xml:space="preserve"> </w:t>
      </w:r>
      <w:r w:rsidR="0085453B" w:rsidRPr="0085453B">
        <w:rPr>
          <w:rFonts w:ascii="Arial" w:hAnsi="Arial" w:cs="Arial"/>
        </w:rPr>
        <w:t xml:space="preserve">Minister of Health of the Republic of Indonesia Regulation Number 492 of 2010 interprets drinking water as water that has been treated or not, has passed various health requirements, and can be drunk directly. Meanwhile, safe drinking water is defined as drinking water that meets physical (tasteless, smelly, turbid, and colored), microbiological, chemical, and radioactive requirements </w:t>
      </w:r>
      <w:r w:rsidR="00730ED8" w:rsidRPr="0085453B">
        <w:rPr>
          <w:rFonts w:ascii="Arial" w:hAnsi="Arial" w:cs="Arial"/>
          <w:shd w:val="clear" w:color="auto" w:fill="FFFFFF"/>
        </w:rPr>
        <w:fldChar w:fldCharType="begin" w:fldLock="1"/>
      </w:r>
      <w:r w:rsidR="00843872">
        <w:rPr>
          <w:rFonts w:ascii="Arial" w:hAnsi="Arial" w:cs="Arial"/>
          <w:shd w:val="clear" w:color="auto" w:fill="FFFFFF"/>
        </w:rPr>
        <w:instrText>ADDIN CSL_CITATION {"citationItems":[{"id":"ITEM-1","itemData":{"abstract":"C ONTINUOUS high-frequency stimulation of the basal ganglia was recently introduced for the treatment of patients with advanced Par- kinson's disease. 1 This treatment seems to be most effective when the electrodes are placed in the sub- thalamic nuclei. 2,3 Among the 20 patients treated suc- cessfully by bilateral subthalamic stimulation at our center, 1 woman had transient acute depression when high-frequency stimulation was delivered to the left substantia nigra, 2 mm below the site where stimu- lation alleviated the signs of Parkinson's disease. We describe here the results of detailed studies of the in- duction of major, reversible depression in this woman.","author":[{"dropping-particle":"","family":"Kemenkes RI","given":"","non-dropping-particle":"","parse-names":false,"suffix":""}],"container-title":"Kemenkes RI","id":"ITEM-1","issued":{"date-parts":[["2010"]]},"title":"Permenkes RI No 492/Menkes/Per/IV/2010 Tentang Persyaratan Kualitas Air Minum","type":"legislation"},"uris":["http://www.mendeley.com/documents/?uuid=d59429fe-6f32-4a2e-bbca-f033c206c6eb"]}],"mendeley":{"formattedCitation":"(36)","plainTextFormattedCitation":"(36)","previouslyFormattedCitation":"(36)"},"properties":{"noteIndex":0},"schema":"https://github.com/citation-style-language/schema/raw/master/csl-citation.json"}</w:instrText>
      </w:r>
      <w:r w:rsidR="00730ED8" w:rsidRPr="0085453B">
        <w:rPr>
          <w:rFonts w:ascii="Arial" w:hAnsi="Arial" w:cs="Arial"/>
          <w:shd w:val="clear" w:color="auto" w:fill="FFFFFF"/>
        </w:rPr>
        <w:fldChar w:fldCharType="separate"/>
      </w:r>
      <w:r w:rsidR="0067144B" w:rsidRPr="0067144B">
        <w:rPr>
          <w:rFonts w:ascii="Arial" w:hAnsi="Arial" w:cs="Arial"/>
          <w:noProof/>
          <w:shd w:val="clear" w:color="auto" w:fill="FFFFFF"/>
        </w:rPr>
        <w:t>(36)</w:t>
      </w:r>
      <w:r w:rsidR="00730ED8" w:rsidRPr="0085453B">
        <w:rPr>
          <w:rFonts w:ascii="Arial" w:hAnsi="Arial" w:cs="Arial"/>
          <w:shd w:val="clear" w:color="auto" w:fill="FFFFFF"/>
        </w:rPr>
        <w:fldChar w:fldCharType="end"/>
      </w:r>
      <w:r w:rsidR="00730ED8" w:rsidRPr="0085453B">
        <w:rPr>
          <w:rFonts w:ascii="Arial" w:hAnsi="Arial" w:cs="Arial"/>
          <w:shd w:val="clear" w:color="auto" w:fill="FFFFFF"/>
        </w:rPr>
        <w:t>.</w:t>
      </w:r>
    </w:p>
    <w:p w14:paraId="469F81AA" w14:textId="77777777" w:rsidR="003528B5" w:rsidRDefault="0085453B" w:rsidP="003528B5">
      <w:pPr>
        <w:pStyle w:val="ListParagraph"/>
        <w:spacing w:after="0" w:line="360" w:lineRule="auto"/>
        <w:ind w:left="0" w:firstLine="567"/>
        <w:jc w:val="both"/>
        <w:rPr>
          <w:rFonts w:ascii="Arial" w:hAnsi="Arial" w:cs="Arial"/>
          <w:shd w:val="clear" w:color="auto" w:fill="FFFFFF"/>
        </w:rPr>
      </w:pPr>
      <w:r w:rsidRPr="0085453B">
        <w:rPr>
          <w:rFonts w:ascii="Arial" w:hAnsi="Arial" w:cs="Arial"/>
          <w:shd w:val="clear" w:color="auto" w:fill="FFFFFF"/>
        </w:rPr>
        <w:t>Access to safe drinking water itself is a drinking water facility that comes from a protected source, except for boreholes, protected wells, and protected springs, because it must go through a recheck regarding the minimum distance between the water source and the fecal reservoir, which must be ≥ 10 meters. Furthermore, respondents with primary drinking water sources from bottled water and/or refilled water can also only be said to be feasible if the water source for household use comes from a protected source</w:t>
      </w:r>
      <w:r w:rsidRPr="0085453B">
        <w:rPr>
          <w:rFonts w:ascii="Arial" w:hAnsi="Arial" w:cs="Arial"/>
        </w:rPr>
        <w:t xml:space="preserve"> </w:t>
      </w:r>
      <w:r w:rsidR="00730ED8" w:rsidRPr="0085453B">
        <w:rPr>
          <w:rFonts w:ascii="Arial" w:hAnsi="Arial" w:cs="Arial"/>
          <w:shd w:val="clear" w:color="auto" w:fill="FFFFFF"/>
        </w:rPr>
        <w:fldChar w:fldCharType="begin" w:fldLock="1"/>
      </w:r>
      <w:r w:rsidR="00730ED8" w:rsidRPr="0085453B">
        <w:rPr>
          <w:rFonts w:ascii="Arial" w:hAnsi="Arial" w:cs="Arial"/>
          <w:shd w:val="clear" w:color="auto" w:fill="FFFFFF"/>
        </w:rPr>
        <w:instrText>ADDIN CSL_CITATION {"citationItems":[{"id":"ITEM-1","itemData":{"ISBN":"978-602-53813-4-8","abstract":"Pembangunan Berkelanjutan","author":[{"dropping-particle":"","family":"Bappenas","given":"","non-dropping-particle":"","parse-names":false,"suffix":""}],"container-title":"Kementerian PPN/Bappenas","edition":"2","id":"ITEM-1","issued":{"date-parts":[["2020"]]},"number-of-pages":"1-106","publisher":"Bappenas","publisher-place":"Jakarta","title":"Metadata Indikator: Pilar Pembangunan Lingkungan","type":"book"},"uris":["http://www.mendeley.com/documents/?uuid=c23a760c-db7e-4ec4-8a78-3033630a6580"]}],"mendeley":{"formattedCitation":"(20)","plainTextFormattedCitation":"(20)","previouslyFormattedCitation":"(20)"},"properties":{"noteIndex":0},"schema":"https://github.com/citation-style-language/schema/raw/master/csl-citation.json"}</w:instrText>
      </w:r>
      <w:r w:rsidR="00730ED8" w:rsidRPr="0085453B">
        <w:rPr>
          <w:rFonts w:ascii="Arial" w:hAnsi="Arial" w:cs="Arial"/>
          <w:shd w:val="clear" w:color="auto" w:fill="FFFFFF"/>
        </w:rPr>
        <w:fldChar w:fldCharType="separate"/>
      </w:r>
      <w:r w:rsidR="00730ED8" w:rsidRPr="0085453B">
        <w:rPr>
          <w:rFonts w:ascii="Arial" w:hAnsi="Arial" w:cs="Arial"/>
          <w:noProof/>
          <w:shd w:val="clear" w:color="auto" w:fill="FFFFFF"/>
          <w:lang w:val="en-ID" w:eastAsia="zh-CN"/>
        </w:rPr>
        <w:t>(20)</w:t>
      </w:r>
      <w:r w:rsidR="00730ED8" w:rsidRPr="0085453B">
        <w:rPr>
          <w:rFonts w:ascii="Arial" w:hAnsi="Arial" w:cs="Arial"/>
          <w:shd w:val="clear" w:color="auto" w:fill="FFFFFF"/>
        </w:rPr>
        <w:fldChar w:fldCharType="end"/>
      </w:r>
      <w:r w:rsidR="00730ED8" w:rsidRPr="0085453B">
        <w:rPr>
          <w:rFonts w:ascii="Arial" w:hAnsi="Arial" w:cs="Arial"/>
          <w:shd w:val="clear" w:color="auto" w:fill="FFFFFF"/>
        </w:rPr>
        <w:t>.</w:t>
      </w:r>
    </w:p>
    <w:p w14:paraId="31A93CAC" w14:textId="1989DE04" w:rsidR="00C14054" w:rsidRDefault="0085453B" w:rsidP="00C14054">
      <w:pPr>
        <w:pStyle w:val="ListParagraph"/>
        <w:spacing w:after="0" w:line="360" w:lineRule="auto"/>
        <w:ind w:left="0" w:firstLine="567"/>
        <w:jc w:val="both"/>
        <w:rPr>
          <w:rFonts w:ascii="Arial" w:hAnsi="Arial" w:cs="Arial"/>
          <w:shd w:val="clear" w:color="auto" w:fill="FFFFFF"/>
        </w:rPr>
      </w:pPr>
      <w:r w:rsidRPr="0085453B">
        <w:rPr>
          <w:rFonts w:ascii="Arial" w:hAnsi="Arial" w:cs="Arial"/>
        </w:rPr>
        <w:t xml:space="preserve">According to the results of the univariate analysis, it is known that more than half, or 73.4% of respondents in this study, have access to feasible drinking water. This percentage result is higher when compared to the achievement of access to feasible drinking water in Papua, which only amounted to 64.9% </w:t>
      </w:r>
      <w:r w:rsidR="00730ED8" w:rsidRPr="0085453B">
        <w:rPr>
          <w:rFonts w:ascii="Arial" w:hAnsi="Arial" w:cs="Arial"/>
        </w:rPr>
        <w:fldChar w:fldCharType="begin" w:fldLock="1"/>
      </w:r>
      <w:r w:rsidR="008A224A">
        <w:rPr>
          <w:rFonts w:ascii="Arial" w:hAnsi="Arial" w:cs="Arial"/>
        </w:rPr>
        <w:instrText>ADDIN CSL_CITATION {"citationItems":[{"id":"ITEM-1","itemData":{"DOI":"10.33860/jik.v16i3.1470","ISSN":"1907-459X","abstract":"Kondisi anak di bawah lima tahun (balita) di Indonesia saat ini menggambarkan satu dari tiga balita mengalami stunting. Berbagai upaya pemerintah dalam penanganan stunting sudah terlihat dengan turunnya prevalensi stunting di tahun 2021 dibandingkan dengan tahun 2019. Namun demikian, kondisi ini tidak terjadi di Papua dan Papua Barat, dimana prevalensi stunting justru meningkat dalam tiga tahun terakhir. Penelitian bertujuan untuk menganalisis prevalensi stunting yang dipengaruhi oleh sanitasi layak dan akses air minum layak di Papua dan Papua Barat. Penelitian ini menggunakan pendekatan kuantitatif dengan metode statistik deskriptif dan inferensia melalui teknik analisis regresi linear berganda. Berdasarkan hasil penelitian ditemukan bahwa secara simultan (bersama-sama) persentase rumah tangga yang mengakses sanitasi layak dan air minum layak mempengaruhi prevalensi stunting di Papua dan Papua Barat. Setiap penurunan persentase rumah tangga yang memiliki akses sanitasi layak dan air minum layak akan meningkatkan prevalensi stunting di Papua dan Papua Barat. Namun secara parsial, hanya persentase rumah tangga yang mengakses sanitasi layak yang signifikan mempengaruhi prevalensi stunting. Penelitian ini mengungkapkan bahwa tanpa sanitasi layak dan air minum layak, balita di Papua dan Papua Barat rentan terhadap stunting","author":[{"dropping-particle":"","family":"Astuti","given":"Yuni R.","non-dropping-particle":"","parse-names":false,"suffix":""}],"container-title":"Poltekita : Jurnal Ilmu Kesehatan","id":"ITEM-1","issue":"3","issued":{"date-parts":[["2022"]]},"page":"261-267","title":"Pengaruh Sanitasi dan Air Minum Terhadap Stunting di Papua dan Papua Barat","type":"article-journal","volume":"16"},"uris":["http://www.mendeley.com/documents/?uuid=30a6176c-2d96-4dab-84d8-db955ccbdbce"]}],"mendeley":{"formattedCitation":"(37)","plainTextFormattedCitation":"(37)","previouslyFormattedCitation":"(37)"},"properties":{"noteIndex":0},"schema":"https://github.com/citation-style-language/schema/raw/master/csl-citation.json"}</w:instrText>
      </w:r>
      <w:r w:rsidR="00730ED8" w:rsidRPr="0085453B">
        <w:rPr>
          <w:rFonts w:ascii="Arial" w:hAnsi="Arial" w:cs="Arial"/>
        </w:rPr>
        <w:fldChar w:fldCharType="separate"/>
      </w:r>
      <w:r w:rsidR="0067144B" w:rsidRPr="0067144B">
        <w:rPr>
          <w:rFonts w:ascii="Arial" w:hAnsi="Arial" w:cs="Arial"/>
          <w:noProof/>
        </w:rPr>
        <w:t>(37)</w:t>
      </w:r>
      <w:r w:rsidR="00730ED8" w:rsidRPr="0085453B">
        <w:rPr>
          <w:rFonts w:ascii="Arial" w:hAnsi="Arial" w:cs="Arial"/>
        </w:rPr>
        <w:fldChar w:fldCharType="end"/>
      </w:r>
      <w:r w:rsidR="00730ED8" w:rsidRPr="0085453B">
        <w:rPr>
          <w:rFonts w:ascii="Arial" w:hAnsi="Arial" w:cs="Arial"/>
        </w:rPr>
        <w:t xml:space="preserve">. </w:t>
      </w:r>
      <w:r w:rsidRPr="0085453B">
        <w:rPr>
          <w:rFonts w:ascii="Arial" w:hAnsi="Arial" w:cs="Arial"/>
          <w:shd w:val="clear" w:color="auto" w:fill="FFFFFF"/>
        </w:rPr>
        <w:t xml:space="preserve">Based on this study, it is known that the primary drinking water facility most widely used in households of toddlers aged 12-23 months in Lampung Province is protected dug wells, which is 37.9%. This result is lower than Zairinayati and Purnama's (2019) study in the Banyuasin District, </w:t>
      </w:r>
      <w:r w:rsidRPr="0085453B">
        <w:rPr>
          <w:rFonts w:ascii="Arial" w:hAnsi="Arial" w:cs="Arial"/>
          <w:shd w:val="clear" w:color="auto" w:fill="FFFFFF"/>
        </w:rPr>
        <w:lastRenderedPageBreak/>
        <w:t>which reported that 53% of respondents had used water sources from wells regardless of whether the wells were protected or not</w:t>
      </w:r>
      <w:r w:rsidR="00730ED8" w:rsidRPr="0085453B">
        <w:rPr>
          <w:rFonts w:ascii="Arial" w:hAnsi="Arial" w:cs="Arial"/>
          <w:shd w:val="clear" w:color="auto" w:fill="FFFFFF"/>
        </w:rPr>
        <w:t xml:space="preserve"> </w:t>
      </w:r>
      <w:r w:rsidR="00730ED8" w:rsidRPr="0085453B">
        <w:rPr>
          <w:rFonts w:ascii="Arial" w:hAnsi="Arial" w:cs="Arial"/>
          <w:shd w:val="clear" w:color="auto" w:fill="FFFFFF"/>
        </w:rPr>
        <w:fldChar w:fldCharType="begin" w:fldLock="1"/>
      </w:r>
      <w:r w:rsidR="008A224A">
        <w:rPr>
          <w:rFonts w:ascii="Arial" w:hAnsi="Arial" w:cs="Arial"/>
          <w:shd w:val="clear" w:color="auto" w:fill="FFFFFF"/>
        </w:rPr>
        <w:instrText>ADDIN CSL_CITATION {"citationItems":[{"id":"ITEM-1","itemData":{"ISSN":"2622-6200","abstract":"Latar Belakang: Stunting merupakan salah satu bentuk kurang gizi berupa keterlambatan \npertumbuhan linear. Salah satu faktor yang mempengaruhi adalah pengetahuan gizi ibu yang kurang\nsehingga cendrung untuk memberikan makanan kepada anaknya tanpa memandang kandungan gizi, \nmutu dan keanekaragaman makanan. Faktor lain adalah perilaku higiene sanitasi makanan yang \nkurang baik, menyebabkan penyakit infeksi disertai gangguan seperti nafsu makan berkurang dan \nmuntah-muntah. Kondisi ini dapat menurunkan keadaan gizi balita dan berimplikasi buruk terhadap \nkemajuan pertumbuhan anak (stunting). Tujuan: Untuk mengetahui hubungan kondisi hygiene\nsanitasi lingkungan (jenis jamban, sumber air bersih, kejadian diare, kejadian kecacingan) dengan \nkejadian stunting pada. Metode: ini adalah case control dengan pendekatan retrospective study,\ndengan analisis data menggunakan uji statistik chi square. Populasi kasus dalam penelitian ini adalah \nseluruh anak balita yang berumur 1-5 tahun yang dinyatakan mengalami stunting oleh dokter/petugas \nparamedis dan populasi kontrol adalah balita yang dinyatakan tidak menderita stunting dengan besar \nsampel 30 kasus dan 30 kontrol. Hasil: Anak yang menderita stunting sebesar 43, 3% berada pada \nrentang umur 3,2 - 3,9 tahun, memiliki berat badan 9-15 kg sebanyak 73,3% dan 97% keluarga \nmemilki pendapatan rendah (kurang dari juta/bulan). Hasil uji bivariat didapatkana ada hubungan \nantara jenis jamban, sumber air bersih dengan kejadian stunting pada balita. Namun tidak ada \nhubungan antara kejadian kecacingan dengan stunting. Saran: kepada tenaga sanitarian khususnya \nagar dapat memberikan informasi kesehatan terkait dengan penggunaan air bersih, dan menggunakan \njamban, karena daerah yang kondisi sanitasinya buruk, ditandai dengan rendahnya akses rumah \ntangga ke jamban sehat, umumnya punya prevalensi stunting yang tinggi dan perlu menggunakan \npendekatan dengan analisis kohort untuk mengamati pengaruh langsung dari kejadian stunting","author":[{"dropping-particle":"","family":"Zairinayati","given":"Zairinayati","non-dropping-particle":"","parse-names":false,"suffix":""},{"dropping-particle":"","family":"Purnama","given":"Rio","non-dropping-particle":"","parse-names":false,"suffix":""}],"container-title":"Babul Ilmi Jurnal Ilmiah Multi Science Kesehatan","id":"ITEM-1","issue":"1","issued":{"date-parts":[["2019"]]},"title":"Hubungan hygiene dan sanitasi lingkungan dengan kejadian stunting pada balita","type":"article-journal","volume":"10"},"uris":["http://www.mendeley.com/documents/?uuid=400b12ce-f2e2-49f9-a907-3f6ac17d72da"]}],"mendeley":{"formattedCitation":"(38)","plainTextFormattedCitation":"(38)","previouslyFormattedCitation":"(38)"},"properties":{"noteIndex":0},"schema":"https://github.com/citation-style-language/schema/raw/master/csl-citation.json"}</w:instrText>
      </w:r>
      <w:r w:rsidR="00730ED8" w:rsidRPr="0085453B">
        <w:rPr>
          <w:rFonts w:ascii="Arial" w:hAnsi="Arial" w:cs="Arial"/>
          <w:shd w:val="clear" w:color="auto" w:fill="FFFFFF"/>
        </w:rPr>
        <w:fldChar w:fldCharType="separate"/>
      </w:r>
      <w:r w:rsidR="0067144B" w:rsidRPr="0067144B">
        <w:rPr>
          <w:rFonts w:ascii="Arial" w:hAnsi="Arial" w:cs="Arial"/>
          <w:noProof/>
          <w:shd w:val="clear" w:color="auto" w:fill="FFFFFF"/>
        </w:rPr>
        <w:t>(38)</w:t>
      </w:r>
      <w:r w:rsidR="00730ED8" w:rsidRPr="0085453B">
        <w:rPr>
          <w:rFonts w:ascii="Arial" w:hAnsi="Arial" w:cs="Arial"/>
          <w:shd w:val="clear" w:color="auto" w:fill="FFFFFF"/>
        </w:rPr>
        <w:fldChar w:fldCharType="end"/>
      </w:r>
      <w:r w:rsidR="00730ED8" w:rsidRPr="0085453B">
        <w:rPr>
          <w:rFonts w:ascii="Arial" w:hAnsi="Arial" w:cs="Arial"/>
          <w:shd w:val="clear" w:color="auto" w:fill="FFFFFF"/>
        </w:rPr>
        <w:t>.</w:t>
      </w:r>
    </w:p>
    <w:p w14:paraId="54CC3367" w14:textId="0CDA66DF" w:rsidR="00C14054" w:rsidRDefault="0085453B" w:rsidP="00C14054">
      <w:pPr>
        <w:pStyle w:val="ListParagraph"/>
        <w:spacing w:before="240" w:after="0" w:line="360" w:lineRule="auto"/>
        <w:ind w:left="0" w:firstLine="567"/>
        <w:jc w:val="both"/>
        <w:rPr>
          <w:rFonts w:ascii="Arial" w:hAnsi="Arial" w:cs="Arial"/>
          <w:shd w:val="clear" w:color="auto" w:fill="FFFFFF"/>
        </w:rPr>
      </w:pPr>
      <w:r w:rsidRPr="0085453B">
        <w:rPr>
          <w:rFonts w:ascii="Arial" w:hAnsi="Arial" w:cs="Arial"/>
          <w:shd w:val="clear" w:color="auto" w:fill="FFFFFF"/>
        </w:rPr>
        <w:t>Bivariate results showed that access to drinking water was associated with the incidence of stunting (p = 0.024), while the results of multivariate analysis with the level of two districts and cities showed that access to drinking water was the dominant factor influencing the incidence of stunting in Lampung Province (p = 0.020; OR = 1.38). This means that toddlers with inadequate access to drinking water will have a 1.38-fold higher risk of stunting.</w:t>
      </w:r>
    </w:p>
    <w:p w14:paraId="31D5708F" w14:textId="28A9C3B2" w:rsidR="00F72765" w:rsidRPr="00C14054" w:rsidRDefault="0085453B" w:rsidP="00C14054">
      <w:pPr>
        <w:pStyle w:val="ListParagraph"/>
        <w:spacing w:after="0" w:line="360" w:lineRule="auto"/>
        <w:ind w:left="0" w:firstLine="567"/>
        <w:jc w:val="both"/>
        <w:rPr>
          <w:rFonts w:ascii="Arial" w:hAnsi="Arial" w:cs="Arial"/>
          <w:shd w:val="clear" w:color="auto" w:fill="FFFFFF"/>
        </w:rPr>
      </w:pPr>
      <w:r w:rsidRPr="0085453B">
        <w:rPr>
          <w:rFonts w:ascii="Arial" w:hAnsi="Arial" w:cs="Arial"/>
        </w:rPr>
        <w:t xml:space="preserve">In line with this study, research by Olo et al. (2021) reported that access to safe water is associated with the incidence of stunting in Indonesia </w:t>
      </w:r>
      <w:r w:rsidRPr="0085453B">
        <w:rPr>
          <w:rFonts w:ascii="Arial" w:hAnsi="Arial" w:cs="Arial"/>
        </w:rPr>
        <w:fldChar w:fldCharType="begin" w:fldLock="1"/>
      </w:r>
      <w:r w:rsidRPr="0085453B">
        <w:rPr>
          <w:rFonts w:ascii="Arial" w:hAnsi="Arial" w:cs="Arial"/>
        </w:rPr>
        <w:instrText>ADDIN CSL_CITATION {"citationItems":[{"id":"ITEM-1","itemData":{"DOI":"10.31004/obsesi.v5i2.521","ISSN":"2356-1327","abstract":"Penelitian ini bertujuan untuk mendeskripsikan bagaimana penerapan penilaian otentik yang diterapkan dalam pembelajaran di Taman Kanak-kanak Negeri II Padang. Jenis penelitian yang digunakan adalah deskriptif dengan pendekatan kualitatif. Kenyataannya, ada beberapa fakta penerapan penilaian otentik khususnya guru-guru TK belum sepenuhnya memahami konsep penilaian otentik. Penelitian ini bertujuan untuk mengetahui penerapan penilaian otentik di Taman Kanak-kanak Negeri II Padang. Pengumpulan dengan format observasi, wawancara, dan dokumentasi. Data dianalisis dengan menggunakan teknik analisis data Miles dan Huberman.Hasil penelitian dapat disimpulkan bahwa: (1) Perencanaan yang dibuat oleh guru sudah ada penilaian sesuai dengan KD dan indikator, tetapi belum semua aspek perkembangan; (2) Proses pelaksanaan penilaian otentik sebagian sudah dilaksanakan oleh guru; (3) Hasil penilaian otentik yang dilakukan setiap hari sesuai dengan intrumen, catatan anekdot, dan hasil karya anak ,tetapi belum direkap oleh guru.","author":[{"dropping-particle":"","family":"Olo","given":"Annita","non-dropping-particle":"","parse-names":false,"suffix":""},{"dropping-particle":"","family":"Mediani","given":"Henny Suzana","non-dropping-particle":"","parse-names":false,"suffix":""},{"dropping-particle":"","family":"Rakhmawati","given":"Windy","non-dropping-particle":"","parse-names":false,"suffix":""}],"container-title":"Jurnal Obsesi : Jurnal Pendidikan Anak Usia Dini","id":"ITEM-1","issue":"2","issued":{"date-parts":[["2021"]]},"page":"1113- 1126","title":"Hubungan Faktor Air dan Sanitasi dengan Kejadian Stunting pada Balita di Indonesia","type":"article-journal","volume":"5"},"uris":["http://www.mendeley.com/documents/?uuid=86fc78ee-df47-4d4f-b0e7-3bdf56b14154"]}],"mendeley":{"formattedCitation":"(13)","plainTextFormattedCitation":"(13)","previouslyFormattedCitation":"(13)"},"properties":{"noteIndex":0},"schema":"https://github.com/citation-style-language/schema/raw/master/csl-citation.json"}</w:instrText>
      </w:r>
      <w:r w:rsidRPr="0085453B">
        <w:rPr>
          <w:rFonts w:ascii="Arial" w:hAnsi="Arial" w:cs="Arial"/>
        </w:rPr>
        <w:fldChar w:fldCharType="separate"/>
      </w:r>
      <w:r w:rsidRPr="0085453B">
        <w:rPr>
          <w:rFonts w:ascii="Arial" w:hAnsi="Arial" w:cs="Arial"/>
          <w:noProof/>
        </w:rPr>
        <w:t>(13)</w:t>
      </w:r>
      <w:r w:rsidRPr="0085453B">
        <w:rPr>
          <w:rFonts w:ascii="Arial" w:hAnsi="Arial" w:cs="Arial"/>
        </w:rPr>
        <w:fldChar w:fldCharType="end"/>
      </w:r>
      <w:r w:rsidRPr="0085453B">
        <w:rPr>
          <w:rFonts w:ascii="Arial" w:hAnsi="Arial" w:cs="Arial"/>
        </w:rPr>
        <w:t xml:space="preserve">.The literature study by Adzura et al. (2021) also indicated that clean water is a factor that affects the incidence of stunting </w:t>
      </w:r>
      <w:r w:rsidRPr="0085453B">
        <w:rPr>
          <w:rFonts w:ascii="Arial" w:hAnsi="Arial" w:cs="Arial"/>
        </w:rPr>
        <w:fldChar w:fldCharType="begin" w:fldLock="1"/>
      </w:r>
      <w:r w:rsidR="008A224A">
        <w:rPr>
          <w:rFonts w:ascii="Arial" w:hAnsi="Arial" w:cs="Arial"/>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zura","given":"Mitha","non-dropping-particle":"","parse-names":false,"suffix":""},{"dropping-particle":"","family":"Fathmawati","given":"","non-dropping-particle":"","parse-names":false,"suffix":""},{"dropping-particle":"","family":"Yulia","given":"","non-dropping-particle":"","parse-names":false,"suffix":""}],"container-title":"Industry and Higher Education","id":"ITEM-1","issue":"1","issued":{"date-parts":[["2021"]]},"page":"81-89","title":"Hubungan Sanitasi, Air Bersih, dan Mencuci Tangan dengan Kejadian Stunting pada Balita di Indonesia","type":"article-journal","volume":"21"},"uris":["http://www.mendeley.com/documents/?uuid=cb40f45f-24d4-4642-9b70-b9bff23a4820"]}],"mendeley":{"formattedCitation":"(39)","plainTextFormattedCitation":"(39)","previouslyFormattedCitation":"(39)"},"properties":{"noteIndex":0},"schema":"https://github.com/citation-style-language/schema/raw/master/csl-citation.json"}</w:instrText>
      </w:r>
      <w:r w:rsidRPr="0085453B">
        <w:rPr>
          <w:rFonts w:ascii="Arial" w:hAnsi="Arial" w:cs="Arial"/>
        </w:rPr>
        <w:fldChar w:fldCharType="separate"/>
      </w:r>
      <w:r w:rsidR="0067144B" w:rsidRPr="0067144B">
        <w:rPr>
          <w:rFonts w:ascii="Arial" w:hAnsi="Arial" w:cs="Arial"/>
          <w:noProof/>
        </w:rPr>
        <w:t>(39)</w:t>
      </w:r>
      <w:r w:rsidRPr="0085453B">
        <w:rPr>
          <w:rFonts w:ascii="Arial" w:hAnsi="Arial" w:cs="Arial"/>
        </w:rPr>
        <w:fldChar w:fldCharType="end"/>
      </w:r>
      <w:r w:rsidRPr="0085453B">
        <w:rPr>
          <w:rFonts w:ascii="Arial" w:hAnsi="Arial" w:cs="Arial"/>
        </w:rPr>
        <w:t>.</w:t>
      </w:r>
      <w:r w:rsidR="00730ED8" w:rsidRPr="0085453B">
        <w:rPr>
          <w:rFonts w:ascii="Arial" w:hAnsi="Arial" w:cs="Arial"/>
        </w:rPr>
        <w:t xml:space="preserve"> </w:t>
      </w:r>
      <w:r w:rsidRPr="0085453B">
        <w:rPr>
          <w:rFonts w:ascii="Arial" w:hAnsi="Arial" w:cs="Arial"/>
        </w:rPr>
        <w:t xml:space="preserve">In addition, an ecological study conducted in Serang District in 2022 also reported that access to drinking water was associated with the incidence of stunting </w:t>
      </w:r>
      <w:r w:rsidR="00730ED8" w:rsidRPr="0085453B">
        <w:rPr>
          <w:rFonts w:ascii="Arial" w:hAnsi="Arial" w:cs="Arial"/>
        </w:rPr>
        <w:fldChar w:fldCharType="begin" w:fldLock="1"/>
      </w:r>
      <w:r w:rsidR="008A224A">
        <w:rPr>
          <w:rFonts w:ascii="Arial" w:hAnsi="Arial" w:cs="Arial"/>
        </w:rPr>
        <w:instrText>ADDIN CSL_CITATION {"citationItems":[{"id":"ITEM-1","itemData":{"DOI":"10.35971/jjhsr.v5i2.19145","ISSN":"2623-0674","abstract":"Stunting adalah penggambaran status gizi kurang pada bayi sejak dalam kandungan hingga dilahirkan yang bersifat kronik pada masa pertumbuhan dan perkembangan. Namun, pada tahun 2022 prevalensi stunting di Kabupaten Serang mencapai 8.96% (11.534 balita menderita stunting). Kebaruan penelitian ini karena meneliti korelasi akses sanitasi dan akses air minum dengan kejadian stunting pada balita. Tujuan dari penelitian ini adalah untuk mengetahui korelasi akses sanitasi dan akses air minum dengan kejadian stunting pada balita di wilayah Kabupaten Serang tahun 2022. Desain studi pada penelitian ini adalah studi ekologi. Analisis korelasi dilakukan terhadap akses sanitasi dan akses air minum dengan angka kejadian stunting pada balita di 326 desa yang ada di Kabupaten Serang. Analisis data dilakukan secara univariat untuk mengetahui gambaran variabel independen dan dependen. Selanjutnya dilakukan analisis bivariat dengan menggunakan Uji Korelasi Spearman. Penelitian dilaksanakan selama bulan Desember 2022 – Februari 2023. Hasil penelitian berdasarkan hasil uji statistik Spearman didapatkan nilai P = 0,463 (P 0,05) sehingga tidak ada hubungan atau korelasi antara akses sanitasi dengan angka kejadian stunting pada balita di Kabupaten Serang. Sedangkan Hasil Hubungan akses air minum dengan kejadian stunting di Kabupaten Serang menunjukkan korelasi lemah dan memiliki arah negatif hal dapati dilihat dari nilai P = 0,038 (P 0.05) Kesimpulan Tidak ada hubungan atau korelasi antara akses sanitasi dengan angka kejadian stunting pada balita di Kabupaten Serang. Sedangkan hubungan akses air minum dengan kejadian stunting di Kabupaten Serang menunjukkan korelasi yang lemah dan memiliki arah negatif","author":[{"dropping-particle":"","family":"Paramasatya","given":"Adhika","non-dropping-particle":"","parse-names":false,"suffix":""},{"dropping-particle":"","family":"Wulandari","given":"Ririn Arminsih","non-dropping-particle":"","parse-names":false,"suffix":""}],"container-title":"Jambura Journal of Health Sciences and Research","id":"ITEM-1","issue":"2","issued":{"date-parts":[["2023"]]},"page":"695-706","title":"Korelasi Akses Sanitasi Dan Akses Air Minum Dengan Kejadian Stunting Pada Balita Di Wilayah Kabupaten Serang Tahun 2022","type":"article-journal","volume":"5"},"uris":["http://www.mendeley.com/documents/?uuid=4154ebaa-7b2d-4c7e-9564-729e27895e53"]}],"mendeley":{"formattedCitation":"(40)","plainTextFormattedCitation":"(40)","previouslyFormattedCitation":"(40)"},"properties":{"noteIndex":0},"schema":"https://github.com/citation-style-language/schema/raw/master/csl-citation.json"}</w:instrText>
      </w:r>
      <w:r w:rsidR="00730ED8" w:rsidRPr="0085453B">
        <w:rPr>
          <w:rFonts w:ascii="Arial" w:hAnsi="Arial" w:cs="Arial"/>
        </w:rPr>
        <w:fldChar w:fldCharType="separate"/>
      </w:r>
      <w:r w:rsidR="0067144B" w:rsidRPr="0067144B">
        <w:rPr>
          <w:rFonts w:ascii="Arial" w:hAnsi="Arial" w:cs="Arial"/>
          <w:noProof/>
        </w:rPr>
        <w:t>(40)</w:t>
      </w:r>
      <w:r w:rsidR="00730ED8" w:rsidRPr="0085453B">
        <w:rPr>
          <w:rFonts w:ascii="Arial" w:hAnsi="Arial" w:cs="Arial"/>
        </w:rPr>
        <w:fldChar w:fldCharType="end"/>
      </w:r>
      <w:r w:rsidR="00730ED8" w:rsidRPr="0085453B">
        <w:rPr>
          <w:rFonts w:ascii="Arial" w:hAnsi="Arial" w:cs="Arial"/>
        </w:rPr>
        <w:t xml:space="preserve">. </w:t>
      </w:r>
      <w:r w:rsidRPr="0085453B">
        <w:rPr>
          <w:rFonts w:ascii="Arial" w:hAnsi="Arial" w:cs="Arial"/>
        </w:rPr>
        <w:t xml:space="preserve">Sinatrya and Muniroh's research (2019) reported a different thing, namely that the source of drinking water (p = 0.415) and the physical quality of drinking water (p = 0.58) were not factors that influenced stunting </w:t>
      </w:r>
      <w:r w:rsidR="00730ED8" w:rsidRPr="0085453B">
        <w:rPr>
          <w:rFonts w:ascii="Arial" w:hAnsi="Arial" w:cs="Arial"/>
        </w:rPr>
        <w:fldChar w:fldCharType="begin" w:fldLock="1"/>
      </w:r>
      <w:r w:rsidR="0024450B" w:rsidRPr="0085453B">
        <w:rPr>
          <w:rFonts w:ascii="Arial" w:hAnsi="Arial" w:cs="Arial"/>
        </w:rPr>
        <w:instrText>ADDIN CSL_CITATION {"citationItems":[{"id":"ITEM-1","itemData":{"DOI":"10.2473/amnt.v3i3.2019.164-170","abstract":"Background: In 2017 prevalence of stunting in, Indonesia reached 29.6% and Bondowoso District was one of district that contributes the third higher prevalence, amounted 38.3%. One of underlying cause of stunting were water, sanitation and hygiene (WASH). Objectives: This research aims to analyze the correlation between WASH with stunting among children aged 24 - 59 months in working area of Kotakulon Public Health Center, Bondowoso District. Methods: This was an observational analytic study with case-control design. The sample size of this research was 66 children aged 24 to 59 months in working area of Kotakulon Public Health Center, Bondowoso District. This case-control study consisted of 33 children in case group and 33 children sample of contro groupl. The dependent variable was stunting status, while the independent variables were drinking water source, quality of drinking water, the ownership of lathrines, and mother’s handwashing habits. The data were analyzed using chi-square test. Results: Hand washing habit (p&lt;0.001; OR=0.12) was a risk factor of stunting in under-five years old which has risk 0.12 times higher for mother that has a poor handwashing habit, while drinking water source (p=0.41), quality of drinking source (p=0.58), the ownership of lathrines (p=0.22) were not accunted as a risk of stunting. Conclusions: A poor handwashing habit in mother contribute to stunting in working area of Kotakulon Public Health Center, Bondowoso District.","author":[{"dropping-particle":"","family":"Sinatrya","given":"Alfadhila Khairil","non-dropping-particle":"","parse-names":false,"suffix":""},{"dropping-particle":"","family":"Muniroh","given":"Lailatul","non-dropping-particle":"","parse-names":false,"suffix":""}],"container-title":"Amerta Nutrition","id":"ITEM-1","issue":"3","issued":{"date-parts":[["2019"]]},"page":"164-170","title":"Hubungan Faktor Water, Sanitation, and Hygiene (WASH) dengan Stunting di Wilayah Kerja Puskesmas Kotakulon, Kabupaten Bondowoso","type":"article-journal","volume":"3"},"uris":["http://www.mendeley.com/documents/?uuid=f159758f-f085-4eb1-94fe-02e052a6dd74"]}],"mendeley":{"formattedCitation":"(14)","plainTextFormattedCitation":"(14)","previouslyFormattedCitation":"(14)"},"properties":{"noteIndex":0},"schema":"https://github.com/citation-style-language/schema/raw/master/csl-citation.json"}</w:instrText>
      </w:r>
      <w:r w:rsidR="00730ED8" w:rsidRPr="0085453B">
        <w:rPr>
          <w:rFonts w:ascii="Arial" w:hAnsi="Arial" w:cs="Arial"/>
        </w:rPr>
        <w:fldChar w:fldCharType="separate"/>
      </w:r>
      <w:r w:rsidR="00730ED8" w:rsidRPr="0085453B">
        <w:rPr>
          <w:rFonts w:ascii="Arial" w:hAnsi="Arial" w:cs="Arial"/>
          <w:noProof/>
        </w:rPr>
        <w:t>(14)</w:t>
      </w:r>
      <w:r w:rsidR="00730ED8" w:rsidRPr="0085453B">
        <w:rPr>
          <w:rFonts w:ascii="Arial" w:hAnsi="Arial" w:cs="Arial"/>
        </w:rPr>
        <w:fldChar w:fldCharType="end"/>
      </w:r>
      <w:r w:rsidR="00730ED8" w:rsidRPr="0085453B">
        <w:rPr>
          <w:rFonts w:ascii="Arial" w:hAnsi="Arial" w:cs="Arial"/>
        </w:rPr>
        <w:t xml:space="preserve">. </w:t>
      </w:r>
    </w:p>
    <w:p w14:paraId="17AAA5FC" w14:textId="4A1681A9" w:rsidR="00730ED8" w:rsidRPr="0085453B" w:rsidRDefault="0085453B" w:rsidP="0085453B">
      <w:pPr>
        <w:spacing w:line="360" w:lineRule="auto"/>
        <w:ind w:firstLine="567"/>
        <w:jc w:val="both"/>
        <w:rPr>
          <w:rFonts w:ascii="Arial" w:hAnsi="Arial" w:cs="Arial"/>
        </w:rPr>
      </w:pPr>
      <w:r w:rsidRPr="0085453B">
        <w:rPr>
          <w:rFonts w:ascii="Arial" w:hAnsi="Arial" w:cs="Arial"/>
          <w:iCs/>
          <w:shd w:val="clear" w:color="auto" w:fill="FFFFFF"/>
        </w:rPr>
        <w:t>Based on the results of a literature study by Olo et al. (2021), most toddlers who live in rural areas with inadequate access to drinking water experience stunting</w:t>
      </w:r>
      <w:r w:rsidR="001231CD">
        <w:rPr>
          <w:rFonts w:ascii="Arial" w:hAnsi="Arial" w:cs="Arial"/>
          <w:iCs/>
          <w:shd w:val="clear" w:color="auto" w:fill="FFFFFF"/>
        </w:rPr>
        <w:t xml:space="preserve"> </w:t>
      </w:r>
      <w:r w:rsidRPr="0085453B">
        <w:rPr>
          <w:rFonts w:ascii="Arial" w:hAnsi="Arial" w:cs="Arial"/>
          <w:iCs/>
          <w:shd w:val="clear" w:color="auto" w:fill="FFFFFF"/>
        </w:rPr>
        <w:fldChar w:fldCharType="begin" w:fldLock="1"/>
      </w:r>
      <w:r w:rsidR="003528B5">
        <w:rPr>
          <w:rFonts w:ascii="Arial" w:hAnsi="Arial" w:cs="Arial"/>
          <w:iCs/>
          <w:shd w:val="clear" w:color="auto" w:fill="FFFFFF"/>
        </w:rPr>
        <w:instrText>ADDIN CSL_CITATION {"citationItems":[{"id":"ITEM-1","itemData":{"DOI":"10.31004/obsesi.v5i2.521","ISSN":"2356-1327","abstract":"Penelitian ini bertujuan untuk mendeskripsikan bagaimana penerapan penilaian otentik yang diterapkan dalam pembelajaran di Taman Kanak-kanak Negeri II Padang. Jenis penelitian yang digunakan adalah deskriptif dengan pendekatan kualitatif. Kenyataannya, ada beberapa fakta penerapan penilaian otentik khususnya guru-guru TK belum sepenuhnya memahami konsep penilaian otentik. Penelitian ini bertujuan untuk mengetahui penerapan penilaian otentik di Taman Kanak-kanak Negeri II Padang. Pengumpulan dengan format observasi, wawancara, dan dokumentasi. Data dianalisis dengan menggunakan teknik analisis data Miles dan Huberman.Hasil penelitian dapat disimpulkan bahwa: (1) Perencanaan yang dibuat oleh guru sudah ada penilaian sesuai dengan KD dan indikator, tetapi belum semua aspek perkembangan; (2) Proses pelaksanaan penilaian otentik sebagian sudah dilaksanakan oleh guru; (3) Hasil penilaian otentik yang dilakukan setiap hari sesuai dengan intrumen, catatan anekdot, dan hasil karya anak ,tetapi belum direkap oleh guru.","author":[{"dropping-particle":"","family":"Olo","given":"Annita","non-dropping-particle":"","parse-names":false,"suffix":""},{"dropping-particle":"","family":"Mediani","given":"Henny Suzana","non-dropping-particle":"","parse-names":false,"suffix":""},{"dropping-particle":"","family":"Rakhmawati","given":"Windy","non-dropping-particle":"","parse-names":false,"suffix":""}],"container-title":"Jurnal Obsesi : Jurnal Pendidikan Anak Usia Dini","id":"ITEM-1","issue":"2","issued":{"date-parts":[["2021"]]},"page":"1113- 1126","title":"Hubungan Faktor Air dan Sanitasi dengan Kejadian Stunting pada Balita di Indonesia","type":"article-journal","volume":"5"},"uris":["http://www.mendeley.com/documents/?uuid=86fc78ee-df47-4d4f-b0e7-3bdf56b14154"]}],"mendeley":{"formattedCitation":"(13)","plainTextFormattedCitation":"(13)","previouslyFormattedCitation":"(13)"},"properties":{"noteIndex":0},"schema":"https://github.com/citation-style-language/schema/raw/master/csl-citation.json"}</w:instrText>
      </w:r>
      <w:r w:rsidRPr="0085453B">
        <w:rPr>
          <w:rFonts w:ascii="Arial" w:hAnsi="Arial" w:cs="Arial"/>
          <w:iCs/>
          <w:shd w:val="clear" w:color="auto" w:fill="FFFFFF"/>
        </w:rPr>
        <w:fldChar w:fldCharType="separate"/>
      </w:r>
      <w:r w:rsidRPr="0085453B">
        <w:rPr>
          <w:rFonts w:ascii="Arial" w:hAnsi="Arial" w:cs="Arial"/>
          <w:iCs/>
          <w:noProof/>
          <w:shd w:val="clear" w:color="auto" w:fill="FFFFFF"/>
        </w:rPr>
        <w:t>(13)</w:t>
      </w:r>
      <w:r w:rsidRPr="0085453B">
        <w:rPr>
          <w:rFonts w:ascii="Arial" w:hAnsi="Arial" w:cs="Arial"/>
          <w:iCs/>
          <w:shd w:val="clear" w:color="auto" w:fill="FFFFFF"/>
        </w:rPr>
        <w:fldChar w:fldCharType="end"/>
      </w:r>
      <w:r w:rsidRPr="0085453B">
        <w:rPr>
          <w:rFonts w:ascii="Arial" w:hAnsi="Arial" w:cs="Arial"/>
          <w:iCs/>
          <w:shd w:val="clear" w:color="auto" w:fill="FFFFFF"/>
        </w:rPr>
        <w:t>.</w:t>
      </w:r>
      <w:r w:rsidR="00730ED8" w:rsidRPr="0085453B">
        <w:rPr>
          <w:rFonts w:ascii="Arial" w:hAnsi="Arial" w:cs="Arial"/>
          <w:shd w:val="clear" w:color="auto" w:fill="FFFFFF"/>
        </w:rPr>
        <w:t xml:space="preserve"> </w:t>
      </w:r>
      <w:r w:rsidRPr="0085453B">
        <w:rPr>
          <w:rFonts w:ascii="Arial" w:hAnsi="Arial" w:cs="Arial"/>
          <w:iCs/>
          <w:shd w:val="clear" w:color="auto" w:fill="FFFFFF"/>
        </w:rPr>
        <w:t>This is because drinking water that is not feasible for consumption will increase the risk of infectious diseases, both in pregnant women and toddlers. The body's defense system that is experiencing infection will experience an increase in pro-inflammatory cytokines, namely TNFα, IL-1 (especially IL-1β), and IL-6, which play a role in suppressing endochondral ossification and inhibiting growth through decreased chondrocyte proliferation</w:t>
      </w:r>
      <w:r w:rsidRPr="0085453B">
        <w:rPr>
          <w:rFonts w:ascii="Arial" w:hAnsi="Arial" w:cs="Arial"/>
        </w:rPr>
        <w:t xml:space="preserve"> </w:t>
      </w:r>
      <w:r w:rsidR="0024450B" w:rsidRPr="0085453B">
        <w:rPr>
          <w:rFonts w:ascii="Arial" w:eastAsia="Arial" w:hAnsi="Arial" w:cs="Arial"/>
        </w:rPr>
        <w:fldChar w:fldCharType="begin" w:fldLock="1"/>
      </w:r>
      <w:r w:rsidR="008A224A">
        <w:rPr>
          <w:rFonts w:ascii="Arial" w:eastAsia="Arial" w:hAnsi="Arial" w:cs="Arial"/>
        </w:rPr>
        <w:instrText>ADDIN CSL_CITATION {"citationItems":[{"id":"ITEM-1","itemData":{"abstract":"Background: Stunting is in the highest state of malnutrition in the world right now that occurs on children under five years old (toddlers). Stunting that occurs in early life, which is the period most vulnerable to disease caused by malnutrition problems can affect the growth of infants. There are several factors that can cause stunting in toddlers. One of them is infectious disease. Objective: To determine the correlation between the history of infectious diseases and the incidence of stunting on toddlers aged 24-36 months. Method: The type of research used in this study was observational analytic using a case control research design. The sampling technique in this study was simple random sampling for the case group and purposive sampling for the control group. The numbers of samples of cases and controls were 48 each. The correlations and the magnitude of the risk between variables are tested using Chi-square. Results: There was a significant correlation between infectious diseases history and stunting in children aged 24-36 months with a p-value of 0.001 and an OR value of 4,200 (1,760-10,020) (p value &lt;0.05). Children aged 24-36 months with a history of frequent infectious diseases have a greater risk 4,2 times to become stunted compared to children aged 24-36 months with a history of rarely suffering from an infectious disease. Conclusion: The infectious diseases history has a significant correlation with the incidence of stunting in children aged 24-36 months.","author":[{"dropping-particle":"","family":"Yulnefia","given":"","non-dropping-particle":"","parse-names":false,"suffix":""},{"dropping-particle":"","family":"Sutia","given":"Mega","non-dropping-particle":"","parse-names":false,"suffix":""}],"container-title":"Jambi Medical Journal","id":"ITEM-1","issue":"1","issued":{"date-parts":[["2022"]]},"page":"154-163","title":"Hubungan Riwayat Penyakit Infeksi Dengan Kejadian Stunting Pada Balita Usia 24-36 Bulan Di Wilayah Kerja Puskesmas Tambang Kabupaten Kampar","type":"article-journal","volume":"10"},"uris":["http://www.mendeley.com/documents/?uuid=193c5295-c11c-43b8-b2a5-9d1d5c2a2d44"]}],"mendeley":{"formattedCitation":"(41)","plainTextFormattedCitation":"(41)","previouslyFormattedCitation":"(41)"},"properties":{"noteIndex":0},"schema":"https://github.com/citation-style-language/schema/raw/master/csl-citation.json"}</w:instrText>
      </w:r>
      <w:r w:rsidR="0024450B" w:rsidRPr="0085453B">
        <w:rPr>
          <w:rFonts w:ascii="Arial" w:eastAsia="Arial" w:hAnsi="Arial" w:cs="Arial"/>
        </w:rPr>
        <w:fldChar w:fldCharType="separate"/>
      </w:r>
      <w:r w:rsidR="0067144B" w:rsidRPr="0067144B">
        <w:rPr>
          <w:rFonts w:ascii="Arial" w:eastAsia="Arial" w:hAnsi="Arial" w:cs="Arial"/>
          <w:noProof/>
        </w:rPr>
        <w:t>(41)</w:t>
      </w:r>
      <w:r w:rsidR="0024450B" w:rsidRPr="0085453B">
        <w:rPr>
          <w:rFonts w:ascii="Arial" w:eastAsia="Arial" w:hAnsi="Arial" w:cs="Arial"/>
        </w:rPr>
        <w:fldChar w:fldCharType="end"/>
      </w:r>
      <w:r w:rsidR="0024450B" w:rsidRPr="0085453B">
        <w:rPr>
          <w:rFonts w:ascii="Arial" w:eastAsia="Arial" w:hAnsi="Arial" w:cs="Arial"/>
        </w:rPr>
        <w:t>.</w:t>
      </w:r>
      <w:r w:rsidR="00F72765" w:rsidRPr="0085453B">
        <w:rPr>
          <w:rFonts w:ascii="Arial" w:eastAsia="Arial" w:hAnsi="Arial" w:cs="Arial"/>
        </w:rPr>
        <w:t xml:space="preserve"> </w:t>
      </w:r>
      <w:r w:rsidRPr="0085453B">
        <w:rPr>
          <w:rFonts w:ascii="Arial" w:hAnsi="Arial" w:cs="Arial"/>
          <w:iCs/>
          <w:shd w:val="clear" w:color="auto" w:fill="FFFFFF"/>
        </w:rPr>
        <w:t>In addition, continuous infection will disrupt nutrient absorption by the body, resulting in malnutrition, which also increases the risk of growth failure or stunting</w:t>
      </w:r>
      <w:r w:rsidRPr="0085453B">
        <w:rPr>
          <w:rFonts w:ascii="Arial" w:hAnsi="Arial" w:cs="Arial"/>
        </w:rPr>
        <w:t xml:space="preserve"> </w:t>
      </w:r>
      <w:r w:rsidR="00F72765" w:rsidRPr="0085453B">
        <w:rPr>
          <w:rFonts w:ascii="Arial" w:hAnsi="Arial" w:cs="Arial"/>
          <w:i/>
          <w:iCs/>
          <w:shd w:val="clear" w:color="auto" w:fill="FFFFFF"/>
        </w:rPr>
        <w:fldChar w:fldCharType="begin" w:fldLock="1"/>
      </w:r>
      <w:r w:rsidR="00843872">
        <w:rPr>
          <w:rFonts w:ascii="Arial" w:hAnsi="Arial" w:cs="Arial"/>
          <w:i/>
          <w:iCs/>
          <w:shd w:val="clear" w:color="auto" w:fill="FFFFFF"/>
        </w:rPr>
        <w:instrText>ADDIN CSL_CITATION {"citationItems":[{"id":"ITEM-1","itemData":{"DOI":"https://doi.org/10.48186/.v2i01.264.45-53","abstract":"Stunting merupakan masalah kesehatan masyarakat dengan prevalensi yang tinggi di Indonesia. Prevalensi balita stunting di dunia sebesar 22,9% dan &amp;nbsp;keadaan gizi balita pendek menjadi penyebab 2,2 juta dari seluruh penyebab kematian balita di seluruh dunia21.&amp;nbsp; Indonesia merupakan peringkat ke 5 stunting tingkat dunia. Prevalensi stunting di Indonesia sebesar 9 juta orang atau 37%12. Penyakit infeksi seperti diare, ISPA, Kecacingan dan TBC merupakan faktor risiko stunting. Tujuan penelitian ini adalah untuk mengetahui riwayat penyakit infeksi yang berhubungan dengan stunting. Hasil penelitian menunjukkan bahwa riwayat penyakit infeksi yang berhubungan dengan stunting yaitu penyakit diare, ISPA, Kecacingan dan TBC berhubungan dengan kejadian stunting. &amp;nbsp;Metode Penelitian ini adalah studi literature dengan berbagai referensi yaitu artikel atau jurnal penelitian, review jurnal, buku dan data yang mendukung dengan kejadian stunting dari 2015-2020. Dalam penelusuran jurnal dengan bantuan internet dengan kata kunci yang terkait riwayat penyakit infeksi dengan kejadian stunting. Kesimpulan dari penelitian ini yaitu dari riwayat penyakit infeksi yang berhubungan dengan stunting maka direkomendasikan yaitu&amp;nbsp; dalam pencegahan penyakit infeksi dalam stunting diharapkan masyarakat memperhatikan imunisasi dasar lengkap, ASI ekslusif, pemberian obat cacing sesuai petunjuk dokter, pemberian gizi seimbang pada balita, memperhatikan pertumbuhan dan perkembangan balita, menjaga personal hygiene dan kebersihan lingkungan. &amp;nbsp;","author":[{"dropping-particle":"","family":"Hidayani","given":"Wuri Ratna","non-dropping-particle":"","parse-names":false,"suffix":""}],"container-title":"Peran Tenaga Kesehatan dalam Menurunkan Kejadian Stunting","id":"ITEM-1","issue":"01","issued":{"date-parts":[["2020"]]},"page":"45-53","title":"Riwayat Penyakit Infeksi yang Berhubungan dengan Stunting di Indonesia : Literature Review","type":"paper-conference","volume":"2"},"uris":["http://www.mendeley.com/documents/?uuid=9785fd26-6504-4ccf-b23f-ad5fe39c50f3"]}],"mendeley":{"formattedCitation":"(42)","plainTextFormattedCitation":"(42)","previouslyFormattedCitation":"(42)"},"properties":{"noteIndex":0},"schema":"https://github.com/citation-style-language/schema/raw/master/csl-citation.json"}</w:instrText>
      </w:r>
      <w:r w:rsidR="00F72765" w:rsidRPr="0085453B">
        <w:rPr>
          <w:rFonts w:ascii="Arial" w:hAnsi="Arial" w:cs="Arial"/>
          <w:i/>
          <w:iCs/>
          <w:shd w:val="clear" w:color="auto" w:fill="FFFFFF"/>
        </w:rPr>
        <w:fldChar w:fldCharType="separate"/>
      </w:r>
      <w:r w:rsidR="0067144B" w:rsidRPr="0067144B">
        <w:rPr>
          <w:rFonts w:ascii="Arial" w:hAnsi="Arial" w:cs="Arial"/>
          <w:iCs/>
          <w:noProof/>
          <w:shd w:val="clear" w:color="auto" w:fill="FFFFFF"/>
          <w:lang w:val="en-ID" w:eastAsia="zh-CN"/>
        </w:rPr>
        <w:t>(42)</w:t>
      </w:r>
      <w:r w:rsidR="00F72765" w:rsidRPr="0085453B">
        <w:rPr>
          <w:rFonts w:ascii="Arial" w:hAnsi="Arial" w:cs="Arial"/>
          <w:i/>
          <w:iCs/>
          <w:shd w:val="clear" w:color="auto" w:fill="FFFFFF"/>
        </w:rPr>
        <w:fldChar w:fldCharType="end"/>
      </w:r>
      <w:r w:rsidR="00F72765" w:rsidRPr="0085453B">
        <w:rPr>
          <w:rFonts w:ascii="Arial" w:eastAsia="Times New Roman" w:hAnsi="Arial" w:cs="Arial"/>
          <w:b/>
          <w:bCs/>
        </w:rPr>
        <w:t>.</w:t>
      </w:r>
      <w:bookmarkEnd w:id="4"/>
    </w:p>
    <w:p w14:paraId="03837D94" w14:textId="6A382067" w:rsidR="00D21735" w:rsidRDefault="00492106" w:rsidP="00730ED8">
      <w:pPr>
        <w:spacing w:line="360" w:lineRule="auto"/>
        <w:ind w:firstLine="567"/>
        <w:jc w:val="both"/>
        <w:rPr>
          <w:rFonts w:ascii="Arial" w:hAnsi="Arial" w:cs="Arial"/>
          <w:bCs/>
        </w:rPr>
      </w:pPr>
      <w:r w:rsidRPr="00492106">
        <w:rPr>
          <w:rFonts w:ascii="Arial" w:hAnsi="Arial" w:cs="Arial"/>
          <w:bCs/>
        </w:rPr>
        <w:t>The strength of this study is that it can explain the factors that cause the high low incidence of stunting in Lampung Province according to the actual SSGI 2022 results, because this study uses secondary data that was also taken in the survey. The limitations of this study are in the cross-sectional design used. This design can cause bias because all variables are collected at the same time, making it difficult to ascertain whether the independent variable directly affects the dependent variable.</w:t>
      </w:r>
    </w:p>
    <w:p w14:paraId="3B41EC65" w14:textId="77777777" w:rsidR="006218BD" w:rsidRDefault="006218BD" w:rsidP="00730ED8">
      <w:pPr>
        <w:spacing w:line="360" w:lineRule="auto"/>
        <w:ind w:firstLine="567"/>
        <w:jc w:val="both"/>
        <w:rPr>
          <w:rFonts w:ascii="Arial" w:hAnsi="Arial" w:cs="Arial"/>
          <w:bCs/>
        </w:rPr>
      </w:pPr>
    </w:p>
    <w:p w14:paraId="610E3273" w14:textId="77777777" w:rsidR="006218BD" w:rsidRPr="00B40051" w:rsidRDefault="006218BD" w:rsidP="00730ED8">
      <w:pPr>
        <w:spacing w:line="360" w:lineRule="auto"/>
        <w:ind w:firstLine="567"/>
        <w:jc w:val="both"/>
        <w:rPr>
          <w:rFonts w:ascii="Arial" w:hAnsi="Arial" w:cs="Arial"/>
        </w:rPr>
      </w:pPr>
    </w:p>
    <w:p w14:paraId="6675406C" w14:textId="77777777" w:rsidR="00B059BE" w:rsidRPr="00FF7BA9" w:rsidRDefault="00B059BE" w:rsidP="009B6B6E">
      <w:pPr>
        <w:pStyle w:val="HTMLPreformatted"/>
        <w:shd w:val="clear" w:color="auto" w:fill="FFFFFF"/>
        <w:spacing w:line="360" w:lineRule="auto"/>
        <w:rPr>
          <w:rFonts w:ascii="Arial" w:hAnsi="Arial" w:cs="Arial"/>
          <w:b/>
          <w:color w:val="000000" w:themeColor="text1"/>
          <w:sz w:val="22"/>
          <w:szCs w:val="22"/>
        </w:rPr>
      </w:pPr>
      <w:r w:rsidRPr="00FF7BA9">
        <w:rPr>
          <w:rFonts w:ascii="Arial" w:hAnsi="Arial" w:cs="Arial"/>
          <w:b/>
          <w:color w:val="000000" w:themeColor="text1"/>
          <w:sz w:val="22"/>
          <w:szCs w:val="22"/>
        </w:rPr>
        <w:lastRenderedPageBreak/>
        <w:t>CONCLUSIONS AND RECOMMENDATIONS</w:t>
      </w:r>
    </w:p>
    <w:p w14:paraId="0BF56DE1" w14:textId="735EDD57" w:rsidR="00D21735" w:rsidRPr="00B40051" w:rsidRDefault="00B40051" w:rsidP="00B40051">
      <w:pPr>
        <w:spacing w:line="360" w:lineRule="auto"/>
        <w:ind w:firstLine="567"/>
        <w:jc w:val="both"/>
        <w:rPr>
          <w:rFonts w:ascii="Arial" w:hAnsi="Arial" w:cs="Arial"/>
          <w:lang w:eastAsia="ko-KR"/>
        </w:rPr>
      </w:pPr>
      <w:r w:rsidRPr="00B40051">
        <w:rPr>
          <w:rFonts w:ascii="Arial" w:hAnsi="Arial" w:cs="Arial"/>
          <w:lang w:eastAsia="ko-KR"/>
        </w:rPr>
        <w:t xml:space="preserve">The results of this study show that </w:t>
      </w:r>
      <w:r w:rsidR="007F209C">
        <w:rPr>
          <w:rFonts w:ascii="Arial" w:hAnsi="Arial" w:cs="Arial"/>
          <w:lang w:eastAsia="ko-KR"/>
        </w:rPr>
        <w:t xml:space="preserve">access to drinking water </w:t>
      </w:r>
      <w:r w:rsidRPr="00B40051">
        <w:rPr>
          <w:rFonts w:ascii="Arial" w:hAnsi="Arial" w:cs="Arial"/>
          <w:lang w:eastAsia="ko-KR"/>
        </w:rPr>
        <w:t>is the m</w:t>
      </w:r>
      <w:r w:rsidRPr="00AA3572">
        <w:rPr>
          <w:rFonts w:ascii="Arial" w:hAnsi="Arial" w:cs="Arial"/>
          <w:lang w:eastAsia="ko-KR"/>
        </w:rPr>
        <w:t>ost dominating factor determining the frequency of stunting in toddlers aged 12-23 months in Lampung Province</w:t>
      </w:r>
      <w:r w:rsidRPr="007F209C">
        <w:rPr>
          <w:rFonts w:ascii="Arial" w:hAnsi="Arial" w:cs="Arial"/>
          <w:iCs/>
          <w:color w:val="FF0000"/>
        </w:rPr>
        <w:t xml:space="preserve">. </w:t>
      </w:r>
      <w:r w:rsidR="00BE0BF4" w:rsidRPr="00BE0BF4">
        <w:rPr>
          <w:rFonts w:ascii="Arial" w:hAnsi="Arial" w:cs="Arial"/>
          <w:iCs/>
        </w:rPr>
        <w:t>Therefore, there is a need for cross-sectoral cooperation to promote the importance of feasible drinking water consumption and optimize the provision of clean water programs in various areas in need.</w:t>
      </w:r>
    </w:p>
    <w:p w14:paraId="6185143F" w14:textId="77777777" w:rsidR="009239E3" w:rsidRPr="00FF7BA9" w:rsidRDefault="00D21735" w:rsidP="00D21735">
      <w:pPr>
        <w:spacing w:line="360" w:lineRule="auto"/>
        <w:rPr>
          <w:rFonts w:ascii="Arial" w:hAnsi="Arial" w:cs="Arial"/>
          <w:b/>
          <w:color w:val="000000" w:themeColor="text1"/>
        </w:rPr>
      </w:pPr>
      <w:r>
        <w:rPr>
          <w:rFonts w:ascii="Arial" w:hAnsi="Arial" w:cs="Arial"/>
          <w:b/>
          <w:color w:val="000000" w:themeColor="text1"/>
        </w:rPr>
        <w:t>REFERENCES</w:t>
      </w:r>
    </w:p>
    <w:p w14:paraId="59E0C35C" w14:textId="75F0456E" w:rsidR="009E10F6" w:rsidRPr="009E10F6" w:rsidRDefault="00843872" w:rsidP="009E10F6">
      <w:pPr>
        <w:widowControl w:val="0"/>
        <w:autoSpaceDE w:val="0"/>
        <w:autoSpaceDN w:val="0"/>
        <w:adjustRightInd w:val="0"/>
        <w:spacing w:after="0" w:line="360" w:lineRule="auto"/>
        <w:ind w:left="640" w:hanging="640"/>
        <w:jc w:val="both"/>
        <w:rPr>
          <w:rFonts w:ascii="Arial" w:hAnsi="Arial" w:cs="Arial"/>
          <w:noProof/>
          <w:szCs w:val="24"/>
        </w:rPr>
      </w:pPr>
      <w:r w:rsidRPr="00843872">
        <w:rPr>
          <w:rFonts w:ascii="Arial" w:hAnsi="Arial" w:cs="Arial"/>
        </w:rPr>
        <w:fldChar w:fldCharType="begin" w:fldLock="1"/>
      </w:r>
      <w:r w:rsidRPr="00843872">
        <w:rPr>
          <w:rFonts w:ascii="Arial" w:hAnsi="Arial" w:cs="Arial"/>
        </w:rPr>
        <w:instrText xml:space="preserve">ADDIN Mendeley Bibliography CSL_BIBLIOGRAPHY </w:instrText>
      </w:r>
      <w:r w:rsidRPr="00843872">
        <w:rPr>
          <w:rFonts w:ascii="Arial" w:hAnsi="Arial" w:cs="Arial"/>
        </w:rPr>
        <w:fldChar w:fldCharType="separate"/>
      </w:r>
      <w:r w:rsidR="009E10F6" w:rsidRPr="009E10F6">
        <w:rPr>
          <w:rFonts w:ascii="Arial" w:hAnsi="Arial" w:cs="Arial"/>
          <w:noProof/>
          <w:szCs w:val="24"/>
        </w:rPr>
        <w:t xml:space="preserve">1. </w:t>
      </w:r>
      <w:r w:rsidR="009E10F6" w:rsidRPr="009E10F6">
        <w:rPr>
          <w:rFonts w:ascii="Arial" w:hAnsi="Arial" w:cs="Arial"/>
          <w:noProof/>
          <w:szCs w:val="24"/>
        </w:rPr>
        <w:tab/>
        <w:t xml:space="preserve">BKKBN. Kebijakan dan Strategi Percepatan Penurunan Stunting di Indonesia. Jakarta: BKKBN; 2021. </w:t>
      </w:r>
    </w:p>
    <w:p w14:paraId="1EB385E1"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 </w:t>
      </w:r>
      <w:r w:rsidRPr="009E10F6">
        <w:rPr>
          <w:rFonts w:ascii="Arial" w:hAnsi="Arial" w:cs="Arial"/>
          <w:noProof/>
          <w:szCs w:val="24"/>
        </w:rPr>
        <w:tab/>
        <w:t xml:space="preserve">Gunardi H. Optimalisasi 1000 Hari Pertama Kehidupan: Nutrisi, Kasih Sayang, Stimulasi, dan Imunisasi Merupakan Langkah Awal Mewujudkan Generasi Penerus yang Unggul. eJournal Kedokt Indones. 2021;9(1):1–6. </w:t>
      </w:r>
    </w:p>
    <w:p w14:paraId="6823B9F7"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 </w:t>
      </w:r>
      <w:r w:rsidRPr="009E10F6">
        <w:rPr>
          <w:rFonts w:ascii="Arial" w:hAnsi="Arial" w:cs="Arial"/>
          <w:noProof/>
          <w:szCs w:val="24"/>
        </w:rPr>
        <w:tab/>
        <w:t xml:space="preserve">UNICEF, WHO, World Bank. Levels and Trends in Child Malnutrition: UNICEF / WHO / World Bank Group Joint Child Malnutrition Estimates: Key Findings of The 2023 Edition. New York; 2023. </w:t>
      </w:r>
    </w:p>
    <w:p w14:paraId="3DA21F88" w14:textId="741AE39F"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4. </w:t>
      </w:r>
      <w:r w:rsidRPr="009E10F6">
        <w:rPr>
          <w:rFonts w:ascii="Arial" w:hAnsi="Arial" w:cs="Arial"/>
          <w:noProof/>
          <w:szCs w:val="24"/>
        </w:rPr>
        <w:tab/>
        <w:t xml:space="preserve">Kemenkes RI. Hasil Survei Status Gizi Indonesia (SSGI) 2022. Jakarta: Kemenkes RI; 2023. </w:t>
      </w:r>
    </w:p>
    <w:p w14:paraId="0FA08657"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5. </w:t>
      </w:r>
      <w:r w:rsidRPr="009E10F6">
        <w:rPr>
          <w:rFonts w:ascii="Arial" w:hAnsi="Arial" w:cs="Arial"/>
          <w:noProof/>
          <w:szCs w:val="24"/>
        </w:rPr>
        <w:tab/>
        <w:t>Sukmalalana, Putra HD, Cika V. Percepatan Penurunan Stunting untuk Mewujudkan Sumber Daya Manusia Indonesia yang Unggul [Internet]. Accountability Paper. 2022. Available from: https://berkas.dpr.go.id/puskajiakn/analisis-ringkas-cepat/public-file/analisis-ringkas-cepat-public-52.pdf</w:t>
      </w:r>
    </w:p>
    <w:p w14:paraId="1C4E7A98" w14:textId="706777D4"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6. </w:t>
      </w:r>
      <w:r w:rsidRPr="009E10F6">
        <w:rPr>
          <w:rFonts w:ascii="Arial" w:hAnsi="Arial" w:cs="Arial"/>
          <w:noProof/>
          <w:szCs w:val="24"/>
        </w:rPr>
        <w:tab/>
        <w:t>Presiden RI. Peraturan Presiden Republik Indonesia No. 72 Tahun 2021 Tentang Percepatan Penurunan Stunting.</w:t>
      </w:r>
      <w:r w:rsidR="00214509">
        <w:rPr>
          <w:rFonts w:ascii="Arial" w:hAnsi="Arial" w:cs="Arial"/>
          <w:noProof/>
          <w:szCs w:val="24"/>
        </w:rPr>
        <w:t xml:space="preserve"> Jakarta:</w:t>
      </w:r>
      <w:r w:rsidRPr="009E10F6">
        <w:rPr>
          <w:rFonts w:ascii="Arial" w:hAnsi="Arial" w:cs="Arial"/>
          <w:noProof/>
          <w:szCs w:val="24"/>
        </w:rPr>
        <w:t xml:space="preserve"> Presiden RI</w:t>
      </w:r>
      <w:r w:rsidR="00214509">
        <w:rPr>
          <w:rFonts w:ascii="Arial" w:hAnsi="Arial" w:cs="Arial"/>
          <w:noProof/>
          <w:szCs w:val="24"/>
        </w:rPr>
        <w:t>;</w:t>
      </w:r>
      <w:r w:rsidRPr="009E10F6">
        <w:rPr>
          <w:rFonts w:ascii="Arial" w:hAnsi="Arial" w:cs="Arial"/>
          <w:noProof/>
          <w:szCs w:val="24"/>
        </w:rPr>
        <w:t xml:space="preserve"> 2021</w:t>
      </w:r>
      <w:r w:rsidR="00214509">
        <w:rPr>
          <w:rFonts w:ascii="Arial" w:hAnsi="Arial" w:cs="Arial"/>
          <w:noProof/>
          <w:szCs w:val="24"/>
        </w:rPr>
        <w:t>.</w:t>
      </w:r>
      <w:r w:rsidRPr="009E10F6">
        <w:rPr>
          <w:rFonts w:ascii="Arial" w:hAnsi="Arial" w:cs="Arial"/>
          <w:noProof/>
          <w:szCs w:val="24"/>
        </w:rPr>
        <w:t xml:space="preserve"> </w:t>
      </w:r>
    </w:p>
    <w:p w14:paraId="09C1DB89"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7. </w:t>
      </w:r>
      <w:r w:rsidRPr="009E10F6">
        <w:rPr>
          <w:rFonts w:ascii="Arial" w:hAnsi="Arial" w:cs="Arial"/>
          <w:noProof/>
          <w:szCs w:val="24"/>
        </w:rPr>
        <w:tab/>
        <w:t>Kemendagri RI. Master Ansit Stunting Tahun 2022 [Internet]. 2023. Available from: https://aksi.bangda.kemendagri.go.id/emonev/DashTop/index/4</w:t>
      </w:r>
    </w:p>
    <w:p w14:paraId="6D0FC0BA"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8. </w:t>
      </w:r>
      <w:r w:rsidRPr="009E10F6">
        <w:rPr>
          <w:rFonts w:ascii="Arial" w:hAnsi="Arial" w:cs="Arial"/>
          <w:noProof/>
          <w:szCs w:val="24"/>
        </w:rPr>
        <w:tab/>
        <w:t xml:space="preserve">Nisar Y Bin, Aguayo VM, Billah SM, Dibley MJ. Antenatal Iron-Folic Acid Supplementation Is Associated with Improved Linear Growth and Reduced Risk of Stunting or Severe Stunting in South Asian Children Less than Two Years of Age: A Pooled Analysis from Seven Countries. Nutrients. 2020;12(9):1–19. </w:t>
      </w:r>
    </w:p>
    <w:p w14:paraId="106194FC"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9. </w:t>
      </w:r>
      <w:r w:rsidRPr="009E10F6">
        <w:rPr>
          <w:rFonts w:ascii="Arial" w:hAnsi="Arial" w:cs="Arial"/>
          <w:noProof/>
          <w:szCs w:val="24"/>
        </w:rPr>
        <w:tab/>
        <w:t xml:space="preserve">Sampe A, Toban RC, Madi MA. Hubungan Pemberian ASI Eksklusif dengan Kejadian Stunting pada Anak Balita. J Ilm Kesehat Sandi Husada. 2020;11(1):448–55. </w:t>
      </w:r>
    </w:p>
    <w:p w14:paraId="0A9D534E"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10. </w:t>
      </w:r>
      <w:r w:rsidRPr="009E10F6">
        <w:rPr>
          <w:rFonts w:ascii="Arial" w:hAnsi="Arial" w:cs="Arial"/>
          <w:noProof/>
          <w:szCs w:val="24"/>
        </w:rPr>
        <w:tab/>
        <w:t xml:space="preserve">Prakoso AD, Azmiardi A, Febriani GA, Anulus A. Studi Case Control : </w:t>
      </w:r>
      <w:r w:rsidRPr="009E10F6">
        <w:rPr>
          <w:rFonts w:ascii="Arial" w:hAnsi="Arial" w:cs="Arial"/>
          <w:noProof/>
          <w:szCs w:val="24"/>
        </w:rPr>
        <w:lastRenderedPageBreak/>
        <w:t xml:space="preserve">Pemantauan Pertumbuhan, Pemberian Makan dan Hubungannya dengan Stunting pada Anak Panti Asuhan di Kota Semarang. J Ilmu Kesehat Bhakti Husada Heal Sci J. 2021;12(2):160–72. </w:t>
      </w:r>
    </w:p>
    <w:p w14:paraId="50917CF3"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11. </w:t>
      </w:r>
      <w:r w:rsidRPr="009E10F6">
        <w:rPr>
          <w:rFonts w:ascii="Arial" w:hAnsi="Arial" w:cs="Arial"/>
          <w:noProof/>
          <w:szCs w:val="24"/>
        </w:rPr>
        <w:tab/>
        <w:t xml:space="preserve">Vasera RA, Kurniawan B. Hubungan Pemberian Imunisasi dengan Kejadian Anak Stunting di Puskesmas Sungai Aur Pasaman Barat Tahun 2021. J Kedokt STM (Sains dan Teknol Med. 2023;6(1):82–90. </w:t>
      </w:r>
    </w:p>
    <w:p w14:paraId="78735728"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12. </w:t>
      </w:r>
      <w:r w:rsidRPr="009E10F6">
        <w:rPr>
          <w:rFonts w:ascii="Arial" w:hAnsi="Arial" w:cs="Arial"/>
          <w:noProof/>
          <w:szCs w:val="24"/>
        </w:rPr>
        <w:tab/>
        <w:t xml:space="preserve">Doni AW, Yusefni E, Susanti D, Wulandari PK. Hubungan Panjang Badan Lahir dan Riwayat Imunisasi Dasar dengan Kejadian Stunting Balita. J Kesehat. 2020;13(2):118–31. </w:t>
      </w:r>
    </w:p>
    <w:p w14:paraId="7BE39469"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13. </w:t>
      </w:r>
      <w:r w:rsidRPr="009E10F6">
        <w:rPr>
          <w:rFonts w:ascii="Arial" w:hAnsi="Arial" w:cs="Arial"/>
          <w:noProof/>
          <w:szCs w:val="24"/>
        </w:rPr>
        <w:tab/>
        <w:t xml:space="preserve">Olo A, Mediani HS, Rakhmawati W. Hubungan Faktor Air dan Sanitasi dengan Kejadian Stunting pada Balita di Indonesia. J Obs  J Pendidik Anak Usia Dini. 2021;5(2):1113–26. </w:t>
      </w:r>
    </w:p>
    <w:p w14:paraId="64C17C26"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14. </w:t>
      </w:r>
      <w:r w:rsidRPr="009E10F6">
        <w:rPr>
          <w:rFonts w:ascii="Arial" w:hAnsi="Arial" w:cs="Arial"/>
          <w:noProof/>
          <w:szCs w:val="24"/>
        </w:rPr>
        <w:tab/>
        <w:t xml:space="preserve">Sinatrya AK, Muniroh L. Hubungan Faktor Water, Sanitation, and Hygiene (WASH) dengan Stunting di Wilayah Kerja Puskesmas Kotakulon, Kabupaten Bondowoso. Amerta Nutr. 2019;3(3):164–70. </w:t>
      </w:r>
    </w:p>
    <w:p w14:paraId="6DC4AF52" w14:textId="327EB9FD"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15. </w:t>
      </w:r>
      <w:r w:rsidRPr="009E10F6">
        <w:rPr>
          <w:rFonts w:ascii="Arial" w:hAnsi="Arial" w:cs="Arial"/>
          <w:noProof/>
          <w:szCs w:val="24"/>
        </w:rPr>
        <w:tab/>
        <w:t>Kemenkes RI. Peraturan Menteri Kesehatan Nomor 2 Tahun 2020 tentang Standar Antropometri Anak.</w:t>
      </w:r>
      <w:r w:rsidR="00214509">
        <w:rPr>
          <w:rFonts w:ascii="Arial" w:hAnsi="Arial" w:cs="Arial"/>
          <w:noProof/>
          <w:szCs w:val="24"/>
        </w:rPr>
        <w:t xml:space="preserve"> Jakarta: Kemenkes RI;</w:t>
      </w:r>
      <w:r w:rsidRPr="009E10F6">
        <w:rPr>
          <w:rFonts w:ascii="Arial" w:hAnsi="Arial" w:cs="Arial"/>
          <w:noProof/>
          <w:szCs w:val="24"/>
        </w:rPr>
        <w:t xml:space="preserve"> 2020 </w:t>
      </w:r>
      <w:r w:rsidR="00214509">
        <w:rPr>
          <w:rFonts w:ascii="Arial" w:hAnsi="Arial" w:cs="Arial"/>
          <w:noProof/>
          <w:szCs w:val="24"/>
        </w:rPr>
        <w:t>.</w:t>
      </w:r>
    </w:p>
    <w:p w14:paraId="2D86BDBF" w14:textId="2E832998"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16. </w:t>
      </w:r>
      <w:r w:rsidRPr="009E10F6">
        <w:rPr>
          <w:rFonts w:ascii="Arial" w:hAnsi="Arial" w:cs="Arial"/>
          <w:noProof/>
          <w:szCs w:val="24"/>
        </w:rPr>
        <w:tab/>
        <w:t xml:space="preserve">Kemenkes RI. Pedoman Penatalaksanaan Pemberian Tablet Tambah Darah. Jakarta: Kemenkes RI; 2015. </w:t>
      </w:r>
    </w:p>
    <w:p w14:paraId="252A2407" w14:textId="221E8F8C"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17. </w:t>
      </w:r>
      <w:r w:rsidRPr="009E10F6">
        <w:rPr>
          <w:rFonts w:ascii="Arial" w:hAnsi="Arial" w:cs="Arial"/>
          <w:noProof/>
          <w:szCs w:val="24"/>
        </w:rPr>
        <w:tab/>
        <w:t xml:space="preserve">Kemenkes RI. Pedoman Pemberian Makan Bayi dan Anak (PMBA). Jakarta: Kemenkes RI; 2020. </w:t>
      </w:r>
    </w:p>
    <w:p w14:paraId="5CB4D9A3" w14:textId="3FB09639"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18. </w:t>
      </w:r>
      <w:r w:rsidRPr="009E10F6">
        <w:rPr>
          <w:rFonts w:ascii="Arial" w:hAnsi="Arial" w:cs="Arial"/>
          <w:noProof/>
          <w:szCs w:val="24"/>
        </w:rPr>
        <w:tab/>
        <w:t xml:space="preserve">Kemenkes RI. Peraturan Menteri Kesehatan No 66 Tahun 2014 tentang Pemantauan Pertumbuhan, Perkembangan, dan Gangguan Tumbuh Kembang Anak. </w:t>
      </w:r>
      <w:r w:rsidR="00214509">
        <w:rPr>
          <w:rFonts w:ascii="Arial" w:hAnsi="Arial" w:cs="Arial"/>
          <w:noProof/>
          <w:szCs w:val="24"/>
        </w:rPr>
        <w:t xml:space="preserve">Jakarta; </w:t>
      </w:r>
      <w:r w:rsidRPr="009E10F6">
        <w:rPr>
          <w:rFonts w:ascii="Arial" w:hAnsi="Arial" w:cs="Arial"/>
          <w:noProof/>
          <w:szCs w:val="24"/>
        </w:rPr>
        <w:t>Kemenkes RI</w:t>
      </w:r>
      <w:r w:rsidR="00214509">
        <w:rPr>
          <w:rFonts w:ascii="Arial" w:hAnsi="Arial" w:cs="Arial"/>
          <w:noProof/>
          <w:szCs w:val="24"/>
        </w:rPr>
        <w:t>;</w:t>
      </w:r>
      <w:r w:rsidRPr="009E10F6">
        <w:rPr>
          <w:rFonts w:ascii="Arial" w:hAnsi="Arial" w:cs="Arial"/>
          <w:noProof/>
          <w:szCs w:val="24"/>
        </w:rPr>
        <w:t xml:space="preserve"> 2014</w:t>
      </w:r>
      <w:r w:rsidR="00214509">
        <w:rPr>
          <w:rFonts w:ascii="Arial" w:hAnsi="Arial" w:cs="Arial"/>
          <w:noProof/>
          <w:szCs w:val="24"/>
        </w:rPr>
        <w:t>.</w:t>
      </w:r>
      <w:r w:rsidRPr="009E10F6">
        <w:rPr>
          <w:rFonts w:ascii="Arial" w:hAnsi="Arial" w:cs="Arial"/>
          <w:noProof/>
          <w:szCs w:val="24"/>
        </w:rPr>
        <w:t xml:space="preserve"> </w:t>
      </w:r>
    </w:p>
    <w:p w14:paraId="210E2BCB" w14:textId="73A9B6D4"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19. </w:t>
      </w:r>
      <w:r w:rsidRPr="009E10F6">
        <w:rPr>
          <w:rFonts w:ascii="Arial" w:hAnsi="Arial" w:cs="Arial"/>
          <w:noProof/>
          <w:szCs w:val="24"/>
        </w:rPr>
        <w:tab/>
        <w:t xml:space="preserve">Kemenkes RI. Peraturan Menteri Kesehatan Nomor 12 Tahun 2017 tentang Penyelenggaraan Imunisasi. </w:t>
      </w:r>
      <w:r w:rsidR="00214509">
        <w:rPr>
          <w:rFonts w:ascii="Arial" w:hAnsi="Arial" w:cs="Arial"/>
          <w:noProof/>
          <w:szCs w:val="24"/>
        </w:rPr>
        <w:t xml:space="preserve">Jakarta: </w:t>
      </w:r>
      <w:r w:rsidRPr="009E10F6">
        <w:rPr>
          <w:rFonts w:ascii="Arial" w:hAnsi="Arial" w:cs="Arial"/>
          <w:noProof/>
          <w:szCs w:val="24"/>
        </w:rPr>
        <w:t>Kemenkes RI; 2017</w:t>
      </w:r>
      <w:r w:rsidR="00214509">
        <w:rPr>
          <w:rFonts w:ascii="Arial" w:hAnsi="Arial" w:cs="Arial"/>
          <w:noProof/>
          <w:szCs w:val="24"/>
        </w:rPr>
        <w:t>.</w:t>
      </w:r>
      <w:r w:rsidRPr="009E10F6">
        <w:rPr>
          <w:rFonts w:ascii="Arial" w:hAnsi="Arial" w:cs="Arial"/>
          <w:noProof/>
          <w:szCs w:val="24"/>
        </w:rPr>
        <w:t xml:space="preserve"> </w:t>
      </w:r>
    </w:p>
    <w:p w14:paraId="37B2BB9A" w14:textId="50D7E9A9"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20. </w:t>
      </w:r>
      <w:r w:rsidRPr="009E10F6">
        <w:rPr>
          <w:rFonts w:ascii="Arial" w:hAnsi="Arial" w:cs="Arial"/>
          <w:noProof/>
          <w:szCs w:val="24"/>
        </w:rPr>
        <w:tab/>
        <w:t xml:space="preserve">Bappenas. Metadata Indikator: Pilar Pembangunan Lingkungan. 2nd ed. Kementerian PPN/Bappenas. Jakarta: Bappenas; 2020. </w:t>
      </w:r>
    </w:p>
    <w:p w14:paraId="5ED3C6E7" w14:textId="062BE1F9"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21. </w:t>
      </w:r>
      <w:r w:rsidRPr="009E10F6">
        <w:rPr>
          <w:rFonts w:ascii="Arial" w:hAnsi="Arial" w:cs="Arial"/>
          <w:noProof/>
          <w:szCs w:val="24"/>
        </w:rPr>
        <w:tab/>
        <w:t xml:space="preserve">Heriyana A, Pazanudin AF, Rosiadi A, Prehandoko DS, Yanti F, Husjakarsih I, et al. Peraturan Kepala Badan Pusat Statistik Nomor 120 Tahun 2020 Tentang Klasifikasi Desa Perkotaan dan Perdesaan di Indonesia 2020 Buku 1 Sumatera. Jakarta: Badan Pusat Statistik; 2021. </w:t>
      </w:r>
    </w:p>
    <w:p w14:paraId="7D828273"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22. </w:t>
      </w:r>
      <w:r w:rsidRPr="009E10F6">
        <w:rPr>
          <w:rFonts w:ascii="Arial" w:hAnsi="Arial" w:cs="Arial"/>
          <w:noProof/>
          <w:szCs w:val="24"/>
        </w:rPr>
        <w:tab/>
        <w:t xml:space="preserve">Nurbani RI, Widyaningsih D, Fatah AR, Elmira E, Toyamah N, Rianto L, et al. Penanggulangan Stunting di Tingkat Daerah : Faktor-faktor yang Memengaruhi Variasi Tingkat Stunting di Enam Kabupaten/Kota di Indonesia. Jakarta; 2019. </w:t>
      </w:r>
    </w:p>
    <w:p w14:paraId="12D3839F"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lastRenderedPageBreak/>
        <w:t xml:space="preserve">23. </w:t>
      </w:r>
      <w:r w:rsidRPr="009E10F6">
        <w:rPr>
          <w:rFonts w:ascii="Arial" w:hAnsi="Arial" w:cs="Arial"/>
          <w:noProof/>
          <w:szCs w:val="24"/>
        </w:rPr>
        <w:tab/>
        <w:t xml:space="preserve">Fentiana N, Tambunan F, Ginting D. Stunting, Pemeriksaan Kehamilan dan Konsumsi Tablet Tambah Darah Ibu Hamil di Indonesia: Analisis Data Riskesdas 2013. J Keperawatan Suaka Insa. 2022;7(2):133–8. </w:t>
      </w:r>
    </w:p>
    <w:p w14:paraId="576D1864"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24. </w:t>
      </w:r>
      <w:r w:rsidRPr="009E10F6">
        <w:rPr>
          <w:rFonts w:ascii="Arial" w:hAnsi="Arial" w:cs="Arial"/>
          <w:noProof/>
          <w:szCs w:val="24"/>
        </w:rPr>
        <w:tab/>
        <w:t xml:space="preserve">Mahadewi EP, Mustikawati IS, Hilmy MR, Heryana A. Exclusive Breastfeeding Behavior Analysis at Hospital in Lampung Indonesia. Int J Sci Technol Manag. 2021;2(5):1875–84. </w:t>
      </w:r>
    </w:p>
    <w:p w14:paraId="0F4DA5EC"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25. </w:t>
      </w:r>
      <w:r w:rsidRPr="009E10F6">
        <w:rPr>
          <w:rFonts w:ascii="Arial" w:hAnsi="Arial" w:cs="Arial"/>
          <w:noProof/>
          <w:szCs w:val="24"/>
        </w:rPr>
        <w:tab/>
        <w:t xml:space="preserve">Fauziah SF, Fasiha, Masi SJ. Determinan Stunting pada Balita di Derah Pesisir Pantai. J Kebidanan. 2023;12(2):29–43. </w:t>
      </w:r>
    </w:p>
    <w:p w14:paraId="30E3104C"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26. </w:t>
      </w:r>
      <w:r w:rsidRPr="009E10F6">
        <w:rPr>
          <w:rFonts w:ascii="Arial" w:hAnsi="Arial" w:cs="Arial"/>
          <w:noProof/>
          <w:szCs w:val="24"/>
        </w:rPr>
        <w:tab/>
        <w:t xml:space="preserve">Masrul, Usman E, Yanis A, Nindrea RD. Scoring System in Prediction of Stunting Risk among Children in West Sumatera Province, Indonesia. Syst Rev Pharm. 2020;11(9):636–41. </w:t>
      </w:r>
    </w:p>
    <w:p w14:paraId="11F50AFB"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27. </w:t>
      </w:r>
      <w:r w:rsidRPr="009E10F6">
        <w:rPr>
          <w:rFonts w:ascii="Arial" w:hAnsi="Arial" w:cs="Arial"/>
          <w:noProof/>
          <w:szCs w:val="24"/>
        </w:rPr>
        <w:tab/>
        <w:t xml:space="preserve">Mulyani I, Khairunnas, Ayunda HM, Muliadi T, Syafiq A, Ahmad A. Relationship between Unsafety Action and Unsafe Conditions with Traffic Accidents in Passenger Car Drivers at Meulaboh Type C Terminal. J-Kesmas J Fak Kesehat Masy (The Indones J Public Heal. 2020;10(1):11–4. </w:t>
      </w:r>
    </w:p>
    <w:p w14:paraId="00B2EAB9"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28. </w:t>
      </w:r>
      <w:r w:rsidRPr="009E10F6">
        <w:rPr>
          <w:rFonts w:ascii="Arial" w:hAnsi="Arial" w:cs="Arial"/>
          <w:noProof/>
          <w:szCs w:val="24"/>
        </w:rPr>
        <w:tab/>
        <w:t xml:space="preserve">Theresia GN, Sudarma V. Immunization Status Lowers The Incidence of Stunting in Children 1-5 Years. World Nutr J. 2022;6(1):9–15. </w:t>
      </w:r>
    </w:p>
    <w:p w14:paraId="6AE35CC6"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29. </w:t>
      </w:r>
      <w:r w:rsidRPr="009E10F6">
        <w:rPr>
          <w:rFonts w:ascii="Arial" w:hAnsi="Arial" w:cs="Arial"/>
          <w:noProof/>
          <w:szCs w:val="24"/>
        </w:rPr>
        <w:tab/>
        <w:t xml:space="preserve">Permatasari TAE, Chairunnisa, Djarir H, Herlina L, Fauziah M, Andriyani, et al. The Determinants of Stunting in the Under-five in Three Municipalities in the Special Capital Region of Jakarta. Kesmas. 2023;18(1):32–40. </w:t>
      </w:r>
    </w:p>
    <w:p w14:paraId="2F6B0028"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30. </w:t>
      </w:r>
      <w:r w:rsidRPr="009E10F6">
        <w:rPr>
          <w:rFonts w:ascii="Arial" w:hAnsi="Arial" w:cs="Arial"/>
          <w:noProof/>
          <w:szCs w:val="24"/>
        </w:rPr>
        <w:tab/>
        <w:t xml:space="preserve">Samiak L, Emeto TI. Vaccination and nutritional status of children in Karawari, East Sepik Province, Papua New Guinea. PLoS One. 2017;12(11):1–12. </w:t>
      </w:r>
    </w:p>
    <w:p w14:paraId="36F1D706"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31. </w:t>
      </w:r>
      <w:r w:rsidRPr="009E10F6">
        <w:rPr>
          <w:rFonts w:ascii="Arial" w:hAnsi="Arial" w:cs="Arial"/>
          <w:noProof/>
          <w:szCs w:val="24"/>
        </w:rPr>
        <w:tab/>
        <w:t xml:space="preserve">Rahayuwati L, Nurhidayah I, Hidayati NO, Hendrawati S, Agustina HS, Ekawati R, et al. Analysis of Factors Affecting The Prevalence of Stunting on Children Under Five Years. EurAsian J Biosci. 2020;14(1):6565–75. </w:t>
      </w:r>
    </w:p>
    <w:p w14:paraId="76D2C882"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32. </w:t>
      </w:r>
      <w:r w:rsidRPr="009E10F6">
        <w:rPr>
          <w:rFonts w:ascii="Arial" w:hAnsi="Arial" w:cs="Arial"/>
          <w:noProof/>
          <w:szCs w:val="24"/>
        </w:rPr>
        <w:tab/>
        <w:t xml:space="preserve">Huriah T, Handayani P, Sudyasih T, Susyanto BE. The Determinant Factors of Stunting Among Children in Urban Slums Area, Yogyakarta, Indonesia. Open Access Maced J Med Sci. 2021;9(T4):1–5. </w:t>
      </w:r>
    </w:p>
    <w:p w14:paraId="0F63206F"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33. </w:t>
      </w:r>
      <w:r w:rsidRPr="009E10F6">
        <w:rPr>
          <w:rFonts w:ascii="Arial" w:hAnsi="Arial" w:cs="Arial"/>
          <w:noProof/>
          <w:szCs w:val="24"/>
        </w:rPr>
        <w:tab/>
        <w:t xml:space="preserve">Beal T, Tumilowicz A, Sutrisna A, Izwardy D, Neufeld LM. A review of child stunting determinants in Indonesia. Matern Child Nutr. 2018;14(4):1–10. </w:t>
      </w:r>
    </w:p>
    <w:p w14:paraId="68E009E1"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34. </w:t>
      </w:r>
      <w:r w:rsidRPr="009E10F6">
        <w:rPr>
          <w:rFonts w:ascii="Arial" w:hAnsi="Arial" w:cs="Arial"/>
          <w:noProof/>
          <w:szCs w:val="24"/>
        </w:rPr>
        <w:tab/>
        <w:t xml:space="preserve">Arpen RS, Afnas NH. Analisis Faktor-Faktor Yang Mempengaruhi Pemberian Imunisasi Dasar Lengkap Pada Bayi. Matern Child Heal Care. 2023;5(1):795–907. </w:t>
      </w:r>
    </w:p>
    <w:p w14:paraId="75E7E87B"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35. </w:t>
      </w:r>
      <w:r w:rsidRPr="009E10F6">
        <w:rPr>
          <w:rFonts w:ascii="Arial" w:hAnsi="Arial" w:cs="Arial"/>
          <w:noProof/>
          <w:szCs w:val="24"/>
        </w:rPr>
        <w:tab/>
        <w:t xml:space="preserve">Ratnaningsih T, Prisusanti RD. Faktor-Faktor Yang Mempengaruhi Pemberian Imunisasi Dasar Lengkap Pada Bayi Usia 12-23 Di Kelurahan Tlogowaru Kota </w:t>
      </w:r>
      <w:r w:rsidRPr="009E10F6">
        <w:rPr>
          <w:rFonts w:ascii="Arial" w:hAnsi="Arial" w:cs="Arial"/>
          <w:noProof/>
          <w:szCs w:val="24"/>
        </w:rPr>
        <w:lastRenderedPageBreak/>
        <w:t xml:space="preserve">Malang. Heal Care Media. 2020;4(2):70–3. </w:t>
      </w:r>
    </w:p>
    <w:p w14:paraId="5CCEBE87" w14:textId="0BADC375"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36. </w:t>
      </w:r>
      <w:r w:rsidRPr="009E10F6">
        <w:rPr>
          <w:rFonts w:ascii="Arial" w:hAnsi="Arial" w:cs="Arial"/>
          <w:noProof/>
          <w:szCs w:val="24"/>
        </w:rPr>
        <w:tab/>
        <w:t xml:space="preserve">Kemenkes RI. Permenkes RI No 492/Menkes/Per/IV/2010 Tentang Persyaratan Kualitas Air Minum. </w:t>
      </w:r>
      <w:r w:rsidR="00214509">
        <w:rPr>
          <w:rFonts w:ascii="Arial" w:hAnsi="Arial" w:cs="Arial"/>
          <w:noProof/>
          <w:szCs w:val="24"/>
        </w:rPr>
        <w:t xml:space="preserve">Jakarta: </w:t>
      </w:r>
      <w:r w:rsidRPr="009E10F6">
        <w:rPr>
          <w:rFonts w:ascii="Arial" w:hAnsi="Arial" w:cs="Arial"/>
          <w:noProof/>
          <w:szCs w:val="24"/>
        </w:rPr>
        <w:t>Kemenkes RI</w:t>
      </w:r>
      <w:r w:rsidR="00214509">
        <w:rPr>
          <w:rFonts w:ascii="Arial" w:hAnsi="Arial" w:cs="Arial"/>
          <w:noProof/>
          <w:szCs w:val="24"/>
        </w:rPr>
        <w:t>;</w:t>
      </w:r>
      <w:r w:rsidRPr="009E10F6">
        <w:rPr>
          <w:rFonts w:ascii="Arial" w:hAnsi="Arial" w:cs="Arial"/>
          <w:noProof/>
          <w:szCs w:val="24"/>
        </w:rPr>
        <w:t xml:space="preserve"> 2010. </w:t>
      </w:r>
    </w:p>
    <w:p w14:paraId="02702706"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37. </w:t>
      </w:r>
      <w:r w:rsidRPr="009E10F6">
        <w:rPr>
          <w:rFonts w:ascii="Arial" w:hAnsi="Arial" w:cs="Arial"/>
          <w:noProof/>
          <w:szCs w:val="24"/>
        </w:rPr>
        <w:tab/>
        <w:t xml:space="preserve">Astuti YR. Pengaruh Sanitasi dan Air Minum Terhadap Stunting di Papua dan Papua Barat. Poltekita  J Ilmu Kesehat. 2022;16(3):261–7. </w:t>
      </w:r>
    </w:p>
    <w:p w14:paraId="2395CCD3"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38. </w:t>
      </w:r>
      <w:r w:rsidRPr="009E10F6">
        <w:rPr>
          <w:rFonts w:ascii="Arial" w:hAnsi="Arial" w:cs="Arial"/>
          <w:noProof/>
          <w:szCs w:val="24"/>
        </w:rPr>
        <w:tab/>
        <w:t xml:space="preserve">Zairinayati Z, Purnama R. Hubungan hygiene dan sanitasi lingkungan dengan kejadian stunting pada balita. Babul Ilmi J Ilm Multi Sci Kesehat. 2019;10(1). </w:t>
      </w:r>
    </w:p>
    <w:p w14:paraId="44DF849C" w14:textId="3E230755"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39. </w:t>
      </w:r>
      <w:r w:rsidRPr="009E10F6">
        <w:rPr>
          <w:rFonts w:ascii="Arial" w:hAnsi="Arial" w:cs="Arial"/>
          <w:noProof/>
          <w:szCs w:val="24"/>
        </w:rPr>
        <w:tab/>
        <w:t xml:space="preserve">Adzura M, Fathmawati, Yulia. Hubungan Sanitasi, Air Bersih, dan Mencuci Tangan dengan Kejadian Stunting pada Balita di Indonesia. Ind High Educ. 2021;21(1):81–9. </w:t>
      </w:r>
    </w:p>
    <w:p w14:paraId="4DEF29DD"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40. </w:t>
      </w:r>
      <w:r w:rsidRPr="009E10F6">
        <w:rPr>
          <w:rFonts w:ascii="Arial" w:hAnsi="Arial" w:cs="Arial"/>
          <w:noProof/>
          <w:szCs w:val="24"/>
        </w:rPr>
        <w:tab/>
        <w:t xml:space="preserve">Paramasatya A, Wulandari RA. Korelasi Akses Sanitasi Dan Akses Air Minum Dengan Kejadian Stunting Pada Balita Di Wilayah Kabupaten Serang Tahun 2022. Jambura J Heal Sci Res. 2023;5(2):695–706. </w:t>
      </w:r>
    </w:p>
    <w:p w14:paraId="6B25F147" w14:textId="77777777"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szCs w:val="24"/>
        </w:rPr>
      </w:pPr>
      <w:r w:rsidRPr="009E10F6">
        <w:rPr>
          <w:rFonts w:ascii="Arial" w:hAnsi="Arial" w:cs="Arial"/>
          <w:noProof/>
          <w:szCs w:val="24"/>
        </w:rPr>
        <w:t xml:space="preserve">41. </w:t>
      </w:r>
      <w:r w:rsidRPr="009E10F6">
        <w:rPr>
          <w:rFonts w:ascii="Arial" w:hAnsi="Arial" w:cs="Arial"/>
          <w:noProof/>
          <w:szCs w:val="24"/>
        </w:rPr>
        <w:tab/>
        <w:t xml:space="preserve">Yulnefia, Sutia M. Hubungan Riwayat Penyakit Infeksi Dengan Kejadian Stunting Pada Balita Usia 24-36 Bulan Di Wilayah Kerja Puskesmas Tambang Kabupaten Kampar. Jambi Med J. 2022;10(1):154–63. </w:t>
      </w:r>
    </w:p>
    <w:p w14:paraId="29A62383" w14:textId="23596DE8" w:rsidR="009E10F6" w:rsidRPr="009E10F6" w:rsidRDefault="009E10F6" w:rsidP="009E10F6">
      <w:pPr>
        <w:widowControl w:val="0"/>
        <w:autoSpaceDE w:val="0"/>
        <w:autoSpaceDN w:val="0"/>
        <w:adjustRightInd w:val="0"/>
        <w:spacing w:after="0" w:line="360" w:lineRule="auto"/>
        <w:ind w:left="640" w:hanging="640"/>
        <w:jc w:val="both"/>
        <w:rPr>
          <w:rFonts w:ascii="Arial" w:hAnsi="Arial" w:cs="Arial"/>
          <w:noProof/>
        </w:rPr>
      </w:pPr>
      <w:r w:rsidRPr="009E10F6">
        <w:rPr>
          <w:rFonts w:ascii="Arial" w:hAnsi="Arial" w:cs="Arial"/>
          <w:noProof/>
          <w:szCs w:val="24"/>
        </w:rPr>
        <w:t xml:space="preserve">42. </w:t>
      </w:r>
      <w:r w:rsidRPr="009E10F6">
        <w:rPr>
          <w:rFonts w:ascii="Arial" w:hAnsi="Arial" w:cs="Arial"/>
          <w:noProof/>
          <w:szCs w:val="24"/>
        </w:rPr>
        <w:tab/>
        <w:t xml:space="preserve">Hidayani WR. Riwayat Penyakit Infeksi yang Berhubungan dengan Stunting di Indonesia : Literature Review. </w:t>
      </w:r>
      <w:r w:rsidR="00214509">
        <w:rPr>
          <w:rFonts w:ascii="Arial" w:hAnsi="Arial" w:cs="Arial"/>
          <w:noProof/>
          <w:szCs w:val="24"/>
        </w:rPr>
        <w:t>"</w:t>
      </w:r>
      <w:r w:rsidRPr="009E10F6">
        <w:rPr>
          <w:rFonts w:ascii="Arial" w:hAnsi="Arial" w:cs="Arial"/>
          <w:noProof/>
          <w:szCs w:val="24"/>
        </w:rPr>
        <w:t>Peran Tenaga Kesehatan dalam Menurunkan Kejadian Stunting</w:t>
      </w:r>
      <w:r w:rsidR="00214509">
        <w:rPr>
          <w:rFonts w:ascii="Arial" w:hAnsi="Arial" w:cs="Arial"/>
          <w:noProof/>
          <w:szCs w:val="24"/>
        </w:rPr>
        <w:t>":</w:t>
      </w:r>
      <w:r w:rsidRPr="009E10F6">
        <w:rPr>
          <w:rFonts w:ascii="Arial" w:hAnsi="Arial" w:cs="Arial"/>
          <w:noProof/>
          <w:szCs w:val="24"/>
        </w:rPr>
        <w:t xml:space="preserve"> 2020. p. 45–53. </w:t>
      </w:r>
    </w:p>
    <w:p w14:paraId="45C2B41C" w14:textId="04696C25" w:rsidR="006218BD" w:rsidRPr="009E793C" w:rsidRDefault="00843872" w:rsidP="009E10F6">
      <w:pPr>
        <w:spacing w:after="0" w:line="360" w:lineRule="auto"/>
        <w:jc w:val="both"/>
      </w:pPr>
      <w:r w:rsidRPr="00843872">
        <w:rPr>
          <w:rFonts w:ascii="Arial" w:hAnsi="Arial" w:cs="Arial"/>
        </w:rPr>
        <w:fldChar w:fldCharType="end"/>
      </w:r>
    </w:p>
    <w:p w14:paraId="286549D2" w14:textId="231182D9" w:rsidR="00E3456B" w:rsidRPr="00540A4F" w:rsidRDefault="00E3456B" w:rsidP="00AA769E">
      <w:pPr>
        <w:pStyle w:val="BodyTextIndent3"/>
        <w:spacing w:after="0" w:line="360" w:lineRule="auto"/>
        <w:ind w:left="0"/>
        <w:jc w:val="both"/>
        <w:rPr>
          <w:rFonts w:ascii="Arial" w:hAnsi="Arial" w:cs="Arial"/>
          <w:b/>
          <w:bCs/>
          <w:lang w:val="id-ID"/>
        </w:rPr>
      </w:pPr>
    </w:p>
    <w:sectPr w:rsidR="00E3456B" w:rsidRPr="00540A4F" w:rsidSect="00D67523">
      <w:type w:val="continuous"/>
      <w:pgSz w:w="11906" w:h="16838"/>
      <w:pgMar w:top="1701" w:right="1701" w:bottom="1701"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TimesNewRomanPSMT">
    <w:altName w:val="Malgun Gothic"/>
    <w:panose1 w:val="00000000000000000000"/>
    <w:charset w:val="81"/>
    <w:family w:val="auto"/>
    <w:notTrueType/>
    <w:pitch w:val="default"/>
    <w:sig w:usb0="00000083" w:usb1="09060000" w:usb2="00000010" w:usb3="00000000" w:csb0="0008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80E16"/>
    <w:multiLevelType w:val="hybridMultilevel"/>
    <w:tmpl w:val="4070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D0DCD"/>
    <w:multiLevelType w:val="hybridMultilevel"/>
    <w:tmpl w:val="B9629976"/>
    <w:lvl w:ilvl="0" w:tplc="E6C84DD4">
      <w:start w:val="1"/>
      <w:numFmt w:val="decimal"/>
      <w:lvlText w:val="%1."/>
      <w:lvlJc w:val="left"/>
      <w:pPr>
        <w:ind w:left="720" w:hanging="360"/>
      </w:pPr>
      <w:rPr>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553591"/>
    <w:multiLevelType w:val="hybridMultilevel"/>
    <w:tmpl w:val="A97477C4"/>
    <w:lvl w:ilvl="0" w:tplc="FC8629E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04E08B3"/>
    <w:multiLevelType w:val="hybridMultilevel"/>
    <w:tmpl w:val="D26A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576181"/>
    <w:multiLevelType w:val="hybridMultilevel"/>
    <w:tmpl w:val="C33C8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D3CE3"/>
    <w:multiLevelType w:val="hybridMultilevel"/>
    <w:tmpl w:val="175CA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C87916"/>
    <w:multiLevelType w:val="hybridMultilevel"/>
    <w:tmpl w:val="EE720E9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06C8EE4">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16cid:durableId="253169083">
    <w:abstractNumId w:val="5"/>
  </w:num>
  <w:num w:numId="2" w16cid:durableId="1352564459">
    <w:abstractNumId w:val="2"/>
  </w:num>
  <w:num w:numId="3" w16cid:durableId="1529954605">
    <w:abstractNumId w:val="6"/>
  </w:num>
  <w:num w:numId="4" w16cid:durableId="1488940595">
    <w:abstractNumId w:val="4"/>
  </w:num>
  <w:num w:numId="5" w16cid:durableId="667713461">
    <w:abstractNumId w:val="1"/>
  </w:num>
  <w:num w:numId="6" w16cid:durableId="1978026475">
    <w:abstractNumId w:val="0"/>
  </w:num>
  <w:num w:numId="7" w16cid:durableId="283930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E3"/>
    <w:rsid w:val="000062FE"/>
    <w:rsid w:val="0001374C"/>
    <w:rsid w:val="0001784B"/>
    <w:rsid w:val="0002178A"/>
    <w:rsid w:val="00022E37"/>
    <w:rsid w:val="0006619B"/>
    <w:rsid w:val="00077684"/>
    <w:rsid w:val="00090078"/>
    <w:rsid w:val="00091F69"/>
    <w:rsid w:val="000B4998"/>
    <w:rsid w:val="000B53C0"/>
    <w:rsid w:val="000C4DC3"/>
    <w:rsid w:val="000D0E95"/>
    <w:rsid w:val="000E326B"/>
    <w:rsid w:val="00122300"/>
    <w:rsid w:val="001231CD"/>
    <w:rsid w:val="001235FE"/>
    <w:rsid w:val="00125382"/>
    <w:rsid w:val="0012782F"/>
    <w:rsid w:val="00142A22"/>
    <w:rsid w:val="0015352C"/>
    <w:rsid w:val="00155E92"/>
    <w:rsid w:val="00165470"/>
    <w:rsid w:val="00171D3A"/>
    <w:rsid w:val="00196E99"/>
    <w:rsid w:val="001A0862"/>
    <w:rsid w:val="001B711B"/>
    <w:rsid w:val="001D13E0"/>
    <w:rsid w:val="00204E85"/>
    <w:rsid w:val="00212AAE"/>
    <w:rsid w:val="00214509"/>
    <w:rsid w:val="00236873"/>
    <w:rsid w:val="0024450B"/>
    <w:rsid w:val="00257C7E"/>
    <w:rsid w:val="002735C3"/>
    <w:rsid w:val="002C47AF"/>
    <w:rsid w:val="002F698E"/>
    <w:rsid w:val="003128AA"/>
    <w:rsid w:val="0031596B"/>
    <w:rsid w:val="003179E9"/>
    <w:rsid w:val="00320414"/>
    <w:rsid w:val="003350C6"/>
    <w:rsid w:val="003528B5"/>
    <w:rsid w:val="00363C69"/>
    <w:rsid w:val="003661E2"/>
    <w:rsid w:val="00381A81"/>
    <w:rsid w:val="003A2181"/>
    <w:rsid w:val="003A4BEE"/>
    <w:rsid w:val="003C4FF2"/>
    <w:rsid w:val="003C6A34"/>
    <w:rsid w:val="003E2115"/>
    <w:rsid w:val="003F3BC4"/>
    <w:rsid w:val="004040A2"/>
    <w:rsid w:val="00430B4F"/>
    <w:rsid w:val="00431723"/>
    <w:rsid w:val="00454745"/>
    <w:rsid w:val="00467CE1"/>
    <w:rsid w:val="00476CF1"/>
    <w:rsid w:val="00492106"/>
    <w:rsid w:val="00494C66"/>
    <w:rsid w:val="004B78E5"/>
    <w:rsid w:val="004C4CDC"/>
    <w:rsid w:val="004C5686"/>
    <w:rsid w:val="004D1E50"/>
    <w:rsid w:val="004F71F8"/>
    <w:rsid w:val="005053D0"/>
    <w:rsid w:val="00520FCF"/>
    <w:rsid w:val="00540A4F"/>
    <w:rsid w:val="00543C37"/>
    <w:rsid w:val="005546BD"/>
    <w:rsid w:val="00565077"/>
    <w:rsid w:val="005858AC"/>
    <w:rsid w:val="0058721E"/>
    <w:rsid w:val="005A6F92"/>
    <w:rsid w:val="005C6A36"/>
    <w:rsid w:val="00602BEE"/>
    <w:rsid w:val="006218BD"/>
    <w:rsid w:val="00651801"/>
    <w:rsid w:val="0067144B"/>
    <w:rsid w:val="006B6A40"/>
    <w:rsid w:val="006C1FBC"/>
    <w:rsid w:val="006C76F8"/>
    <w:rsid w:val="006C7EC2"/>
    <w:rsid w:val="006E3C50"/>
    <w:rsid w:val="007270DB"/>
    <w:rsid w:val="00730ED8"/>
    <w:rsid w:val="00743F80"/>
    <w:rsid w:val="007A3ED0"/>
    <w:rsid w:val="007C5461"/>
    <w:rsid w:val="007D7356"/>
    <w:rsid w:val="007E4C72"/>
    <w:rsid w:val="007F209C"/>
    <w:rsid w:val="0080498A"/>
    <w:rsid w:val="00812915"/>
    <w:rsid w:val="00843872"/>
    <w:rsid w:val="00853DF0"/>
    <w:rsid w:val="0085453B"/>
    <w:rsid w:val="00890672"/>
    <w:rsid w:val="00896FF6"/>
    <w:rsid w:val="008A224A"/>
    <w:rsid w:val="008B0034"/>
    <w:rsid w:val="008D460C"/>
    <w:rsid w:val="008F2169"/>
    <w:rsid w:val="008F723A"/>
    <w:rsid w:val="00904D74"/>
    <w:rsid w:val="009239E3"/>
    <w:rsid w:val="00926EBC"/>
    <w:rsid w:val="009315E6"/>
    <w:rsid w:val="00932099"/>
    <w:rsid w:val="009514FB"/>
    <w:rsid w:val="009868F1"/>
    <w:rsid w:val="00997DA6"/>
    <w:rsid w:val="009B1325"/>
    <w:rsid w:val="009B6B6E"/>
    <w:rsid w:val="009B6E6C"/>
    <w:rsid w:val="009D1E2B"/>
    <w:rsid w:val="009E10F6"/>
    <w:rsid w:val="009E4123"/>
    <w:rsid w:val="00A07A20"/>
    <w:rsid w:val="00A3051E"/>
    <w:rsid w:val="00A31A50"/>
    <w:rsid w:val="00A3321F"/>
    <w:rsid w:val="00A42D16"/>
    <w:rsid w:val="00A5531D"/>
    <w:rsid w:val="00A55935"/>
    <w:rsid w:val="00A56CBE"/>
    <w:rsid w:val="00A67DC9"/>
    <w:rsid w:val="00A72700"/>
    <w:rsid w:val="00A83FC1"/>
    <w:rsid w:val="00AA3572"/>
    <w:rsid w:val="00AA769E"/>
    <w:rsid w:val="00AE0B74"/>
    <w:rsid w:val="00AE69EA"/>
    <w:rsid w:val="00B059BE"/>
    <w:rsid w:val="00B40051"/>
    <w:rsid w:val="00B46197"/>
    <w:rsid w:val="00B80795"/>
    <w:rsid w:val="00B82812"/>
    <w:rsid w:val="00B90C6E"/>
    <w:rsid w:val="00BB5601"/>
    <w:rsid w:val="00BE0BF4"/>
    <w:rsid w:val="00BE3829"/>
    <w:rsid w:val="00BF6ACF"/>
    <w:rsid w:val="00C14054"/>
    <w:rsid w:val="00C259B5"/>
    <w:rsid w:val="00C37E2C"/>
    <w:rsid w:val="00C40843"/>
    <w:rsid w:val="00C444E5"/>
    <w:rsid w:val="00C73A77"/>
    <w:rsid w:val="00CA2665"/>
    <w:rsid w:val="00CB4863"/>
    <w:rsid w:val="00CB54BC"/>
    <w:rsid w:val="00CC783C"/>
    <w:rsid w:val="00D003AA"/>
    <w:rsid w:val="00D21735"/>
    <w:rsid w:val="00D259AD"/>
    <w:rsid w:val="00D30E2B"/>
    <w:rsid w:val="00D67523"/>
    <w:rsid w:val="00D8450B"/>
    <w:rsid w:val="00DD259F"/>
    <w:rsid w:val="00DD48CF"/>
    <w:rsid w:val="00E17148"/>
    <w:rsid w:val="00E24A49"/>
    <w:rsid w:val="00E32D20"/>
    <w:rsid w:val="00E3456B"/>
    <w:rsid w:val="00E36C3E"/>
    <w:rsid w:val="00E518B1"/>
    <w:rsid w:val="00E56001"/>
    <w:rsid w:val="00E66054"/>
    <w:rsid w:val="00E701A5"/>
    <w:rsid w:val="00E70BB2"/>
    <w:rsid w:val="00E74D22"/>
    <w:rsid w:val="00E85AD4"/>
    <w:rsid w:val="00EA1195"/>
    <w:rsid w:val="00EB236B"/>
    <w:rsid w:val="00EB4495"/>
    <w:rsid w:val="00EC7C7C"/>
    <w:rsid w:val="00ED1FDF"/>
    <w:rsid w:val="00ED31E6"/>
    <w:rsid w:val="00EF5E73"/>
    <w:rsid w:val="00F0011E"/>
    <w:rsid w:val="00F05149"/>
    <w:rsid w:val="00F24D9C"/>
    <w:rsid w:val="00F30F64"/>
    <w:rsid w:val="00F35D6A"/>
    <w:rsid w:val="00F53E87"/>
    <w:rsid w:val="00F63C63"/>
    <w:rsid w:val="00F669FD"/>
    <w:rsid w:val="00F72765"/>
    <w:rsid w:val="00F74297"/>
    <w:rsid w:val="00F809F2"/>
    <w:rsid w:val="00F943BF"/>
    <w:rsid w:val="00F96CFA"/>
    <w:rsid w:val="00FD00AB"/>
    <w:rsid w:val="00FE5595"/>
    <w:rsid w:val="00FF7BA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A891"/>
  <w15:docId w15:val="{86BD5741-668C-435D-8568-C6F7CB52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239E3"/>
    <w:pPr>
      <w:spacing w:after="0" w:line="240" w:lineRule="auto"/>
    </w:pPr>
  </w:style>
  <w:style w:type="paragraph" w:styleId="BalloonText">
    <w:name w:val="Balloon Text"/>
    <w:basedOn w:val="Normal"/>
    <w:link w:val="BalloonTextChar"/>
    <w:uiPriority w:val="99"/>
    <w:semiHidden/>
    <w:unhideWhenUsed/>
    <w:rsid w:val="0092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9E3"/>
    <w:rPr>
      <w:rFonts w:ascii="Tahoma" w:hAnsi="Tahoma" w:cs="Tahoma"/>
      <w:sz w:val="16"/>
      <w:szCs w:val="16"/>
    </w:rPr>
  </w:style>
  <w:style w:type="paragraph" w:styleId="ListParagraph">
    <w:name w:val="List Paragraph"/>
    <w:basedOn w:val="Normal"/>
    <w:uiPriority w:val="99"/>
    <w:qFormat/>
    <w:rsid w:val="009239E3"/>
    <w:pPr>
      <w:spacing w:after="160" w:line="254" w:lineRule="auto"/>
      <w:ind w:left="720"/>
      <w:contextualSpacing/>
    </w:pPr>
  </w:style>
  <w:style w:type="table" w:styleId="TableGrid">
    <w:name w:val="Table Grid"/>
    <w:basedOn w:val="TableNormal"/>
    <w:uiPriority w:val="59"/>
    <w:rsid w:val="0092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9E3"/>
    <w:rPr>
      <w:color w:val="0000FF" w:themeColor="hyperlink"/>
      <w:u w:val="single"/>
    </w:rPr>
  </w:style>
  <w:style w:type="paragraph" w:styleId="HTMLPreformatted">
    <w:name w:val="HTML Preformatted"/>
    <w:basedOn w:val="Normal"/>
    <w:link w:val="HTMLPreformattedChar"/>
    <w:uiPriority w:val="99"/>
    <w:unhideWhenUsed/>
    <w:rsid w:val="00E3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36C3E"/>
    <w:rPr>
      <w:rFonts w:ascii="Courier New" w:eastAsia="Times New Roman" w:hAnsi="Courier New" w:cs="Courier New"/>
      <w:sz w:val="20"/>
      <w:szCs w:val="20"/>
      <w:lang w:eastAsia="id-ID"/>
    </w:rPr>
  </w:style>
  <w:style w:type="character" w:customStyle="1" w:styleId="fontstyle01">
    <w:name w:val="fontstyle01"/>
    <w:basedOn w:val="DefaultParagraphFont"/>
    <w:rsid w:val="00FF7BA9"/>
    <w:rPr>
      <w:rFonts w:ascii="ArialMT" w:hAnsi="ArialMT" w:hint="default"/>
      <w:b w:val="0"/>
      <w:bCs w:val="0"/>
      <w:i w:val="0"/>
      <w:iCs w:val="0"/>
      <w:color w:val="000000"/>
      <w:sz w:val="18"/>
      <w:szCs w:val="18"/>
    </w:rPr>
  </w:style>
  <w:style w:type="character" w:customStyle="1" w:styleId="fontstyle21">
    <w:name w:val="fontstyle21"/>
    <w:basedOn w:val="DefaultParagraphFont"/>
    <w:rsid w:val="00FF7BA9"/>
    <w:rPr>
      <w:rFonts w:ascii="Arial-ItalicMT" w:hAnsi="Arial-ItalicMT" w:hint="default"/>
      <w:b w:val="0"/>
      <w:bCs w:val="0"/>
      <w:i/>
      <w:iCs/>
      <w:color w:val="000000"/>
      <w:sz w:val="18"/>
      <w:szCs w:val="18"/>
    </w:rPr>
  </w:style>
  <w:style w:type="character" w:customStyle="1" w:styleId="fontstyle31">
    <w:name w:val="fontstyle31"/>
    <w:basedOn w:val="DefaultParagraphFont"/>
    <w:rsid w:val="00FF7BA9"/>
    <w:rPr>
      <w:rFonts w:ascii="TimesNewRomanPSMT" w:eastAsia="TimesNewRomanPSMT" w:hAnsi="TimesNewRomanPSMT" w:hint="eastAsia"/>
      <w:b w:val="0"/>
      <w:bCs w:val="0"/>
      <w:i w:val="0"/>
      <w:iCs w:val="0"/>
      <w:color w:val="000000"/>
      <w:sz w:val="18"/>
      <w:szCs w:val="18"/>
    </w:rPr>
  </w:style>
  <w:style w:type="character" w:styleId="CommentReference">
    <w:name w:val="annotation reference"/>
    <w:basedOn w:val="DefaultParagraphFont"/>
    <w:uiPriority w:val="99"/>
    <w:semiHidden/>
    <w:unhideWhenUsed/>
    <w:qFormat/>
    <w:rsid w:val="00A07A20"/>
    <w:rPr>
      <w:sz w:val="16"/>
      <w:szCs w:val="16"/>
    </w:rPr>
  </w:style>
  <w:style w:type="paragraph" w:styleId="CommentText">
    <w:name w:val="annotation text"/>
    <w:basedOn w:val="Normal"/>
    <w:link w:val="CommentTextChar"/>
    <w:uiPriority w:val="99"/>
    <w:semiHidden/>
    <w:unhideWhenUsed/>
    <w:rsid w:val="00A07A20"/>
    <w:pPr>
      <w:spacing w:line="240" w:lineRule="auto"/>
    </w:pPr>
    <w:rPr>
      <w:sz w:val="20"/>
      <w:szCs w:val="20"/>
    </w:rPr>
  </w:style>
  <w:style w:type="character" w:customStyle="1" w:styleId="CommentTextChar">
    <w:name w:val="Comment Text Char"/>
    <w:basedOn w:val="DefaultParagraphFont"/>
    <w:link w:val="CommentText"/>
    <w:uiPriority w:val="99"/>
    <w:semiHidden/>
    <w:rsid w:val="00A07A20"/>
    <w:rPr>
      <w:sz w:val="20"/>
      <w:szCs w:val="20"/>
    </w:rPr>
  </w:style>
  <w:style w:type="paragraph" w:styleId="CommentSubject">
    <w:name w:val="annotation subject"/>
    <w:basedOn w:val="CommentText"/>
    <w:next w:val="CommentText"/>
    <w:link w:val="CommentSubjectChar"/>
    <w:uiPriority w:val="99"/>
    <w:semiHidden/>
    <w:unhideWhenUsed/>
    <w:rsid w:val="00A07A20"/>
    <w:rPr>
      <w:b/>
      <w:bCs/>
    </w:rPr>
  </w:style>
  <w:style w:type="character" w:customStyle="1" w:styleId="CommentSubjectChar">
    <w:name w:val="Comment Subject Char"/>
    <w:basedOn w:val="CommentTextChar"/>
    <w:link w:val="CommentSubject"/>
    <w:uiPriority w:val="99"/>
    <w:semiHidden/>
    <w:rsid w:val="00A07A20"/>
    <w:rPr>
      <w:b/>
      <w:bCs/>
      <w:sz w:val="20"/>
      <w:szCs w:val="20"/>
    </w:rPr>
  </w:style>
  <w:style w:type="paragraph" w:styleId="BodyTextIndent3">
    <w:name w:val="Body Text Indent 3"/>
    <w:basedOn w:val="Normal"/>
    <w:link w:val="BodyTextIndent3Char"/>
    <w:uiPriority w:val="99"/>
    <w:unhideWhenUsed/>
    <w:rsid w:val="00A07A20"/>
    <w:pPr>
      <w:spacing w:after="120"/>
      <w:ind w:left="360"/>
    </w:pPr>
    <w:rPr>
      <w:rFonts w:ascii="Calibri" w:eastAsia="Times New Roman" w:hAnsi="Calibri" w:cs="Times New Roman"/>
      <w:sz w:val="16"/>
      <w:szCs w:val="16"/>
      <w:lang w:val="en-US"/>
    </w:rPr>
  </w:style>
  <w:style w:type="character" w:customStyle="1" w:styleId="BodyTextIndent3Char">
    <w:name w:val="Body Text Indent 3 Char"/>
    <w:basedOn w:val="DefaultParagraphFont"/>
    <w:link w:val="BodyTextIndent3"/>
    <w:uiPriority w:val="99"/>
    <w:rsid w:val="00A07A20"/>
    <w:rPr>
      <w:rFonts w:ascii="Calibri" w:eastAsia="Times New Roman" w:hAnsi="Calibri" w:cs="Times New Roman"/>
      <w:sz w:val="16"/>
      <w:szCs w:val="16"/>
      <w:lang w:val="en-US"/>
    </w:rPr>
  </w:style>
  <w:style w:type="character" w:styleId="Emphasis">
    <w:name w:val="Emphasis"/>
    <w:basedOn w:val="DefaultParagraphFont"/>
    <w:uiPriority w:val="20"/>
    <w:qFormat/>
    <w:rsid w:val="00492106"/>
    <w:rPr>
      <w:i/>
      <w:iCs/>
    </w:rPr>
  </w:style>
  <w:style w:type="paragraph" w:styleId="NormalWeb">
    <w:name w:val="Normal (Web)"/>
    <w:basedOn w:val="Normal"/>
    <w:uiPriority w:val="99"/>
    <w:unhideWhenUsed/>
    <w:rsid w:val="0049210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highlight">
    <w:name w:val="highlight"/>
    <w:qFormat/>
    <w:rsid w:val="00492106"/>
  </w:style>
  <w:style w:type="character" w:customStyle="1" w:styleId="15">
    <w:name w:val="15"/>
    <w:basedOn w:val="DefaultParagraphFont"/>
    <w:qFormat/>
    <w:rsid w:val="00492106"/>
    <w:rPr>
      <w:rFonts w:ascii="Times New Roman" w:hAnsi="Times New Roman" w:cs="Times New Roman" w:hint="default"/>
      <w:b/>
      <w:bCs/>
    </w:rPr>
  </w:style>
  <w:style w:type="character" w:styleId="UnresolvedMention">
    <w:name w:val="Unresolved Mention"/>
    <w:basedOn w:val="DefaultParagraphFont"/>
    <w:uiPriority w:val="99"/>
    <w:semiHidden/>
    <w:unhideWhenUsed/>
    <w:rsid w:val="000B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263149">
      <w:bodyDiv w:val="1"/>
      <w:marLeft w:val="0"/>
      <w:marRight w:val="0"/>
      <w:marTop w:val="0"/>
      <w:marBottom w:val="0"/>
      <w:divBdr>
        <w:top w:val="none" w:sz="0" w:space="0" w:color="auto"/>
        <w:left w:val="none" w:sz="0" w:space="0" w:color="auto"/>
        <w:bottom w:val="none" w:sz="0" w:space="0" w:color="auto"/>
        <w:right w:val="none" w:sz="0" w:space="0" w:color="auto"/>
      </w:divBdr>
    </w:div>
    <w:div w:id="413016228">
      <w:bodyDiv w:val="1"/>
      <w:marLeft w:val="0"/>
      <w:marRight w:val="0"/>
      <w:marTop w:val="0"/>
      <w:marBottom w:val="0"/>
      <w:divBdr>
        <w:top w:val="none" w:sz="0" w:space="0" w:color="auto"/>
        <w:left w:val="none" w:sz="0" w:space="0" w:color="auto"/>
        <w:bottom w:val="none" w:sz="0" w:space="0" w:color="auto"/>
        <w:right w:val="none" w:sz="0" w:space="0" w:color="auto"/>
      </w:divBdr>
    </w:div>
    <w:div w:id="607586127">
      <w:bodyDiv w:val="1"/>
      <w:marLeft w:val="0"/>
      <w:marRight w:val="0"/>
      <w:marTop w:val="0"/>
      <w:marBottom w:val="0"/>
      <w:divBdr>
        <w:top w:val="none" w:sz="0" w:space="0" w:color="auto"/>
        <w:left w:val="none" w:sz="0" w:space="0" w:color="auto"/>
        <w:bottom w:val="none" w:sz="0" w:space="0" w:color="auto"/>
        <w:right w:val="none" w:sz="0" w:space="0" w:color="auto"/>
      </w:divBdr>
    </w:div>
    <w:div w:id="643848641">
      <w:bodyDiv w:val="1"/>
      <w:marLeft w:val="0"/>
      <w:marRight w:val="0"/>
      <w:marTop w:val="0"/>
      <w:marBottom w:val="0"/>
      <w:divBdr>
        <w:top w:val="none" w:sz="0" w:space="0" w:color="auto"/>
        <w:left w:val="none" w:sz="0" w:space="0" w:color="auto"/>
        <w:bottom w:val="none" w:sz="0" w:space="0" w:color="auto"/>
        <w:right w:val="none" w:sz="0" w:space="0" w:color="auto"/>
      </w:divBdr>
      <w:divsChild>
        <w:div w:id="2083674483">
          <w:marLeft w:val="0"/>
          <w:marRight w:val="0"/>
          <w:marTop w:val="0"/>
          <w:marBottom w:val="0"/>
          <w:divBdr>
            <w:top w:val="none" w:sz="0" w:space="0" w:color="auto"/>
            <w:left w:val="none" w:sz="0" w:space="0" w:color="auto"/>
            <w:bottom w:val="none" w:sz="0" w:space="0" w:color="auto"/>
            <w:right w:val="none" w:sz="0" w:space="0" w:color="auto"/>
          </w:divBdr>
        </w:div>
        <w:div w:id="797189010">
          <w:marLeft w:val="0"/>
          <w:marRight w:val="0"/>
          <w:marTop w:val="0"/>
          <w:marBottom w:val="0"/>
          <w:divBdr>
            <w:top w:val="none" w:sz="0" w:space="0" w:color="auto"/>
            <w:left w:val="none" w:sz="0" w:space="0" w:color="auto"/>
            <w:bottom w:val="none" w:sz="0" w:space="0" w:color="auto"/>
            <w:right w:val="none" w:sz="0" w:space="0" w:color="auto"/>
          </w:divBdr>
        </w:div>
        <w:div w:id="518158472">
          <w:marLeft w:val="0"/>
          <w:marRight w:val="0"/>
          <w:marTop w:val="0"/>
          <w:marBottom w:val="0"/>
          <w:divBdr>
            <w:top w:val="none" w:sz="0" w:space="0" w:color="auto"/>
            <w:left w:val="none" w:sz="0" w:space="0" w:color="auto"/>
            <w:bottom w:val="none" w:sz="0" w:space="0" w:color="auto"/>
            <w:right w:val="none" w:sz="0" w:space="0" w:color="auto"/>
          </w:divBdr>
        </w:div>
        <w:div w:id="372073869">
          <w:marLeft w:val="0"/>
          <w:marRight w:val="0"/>
          <w:marTop w:val="0"/>
          <w:marBottom w:val="0"/>
          <w:divBdr>
            <w:top w:val="none" w:sz="0" w:space="0" w:color="auto"/>
            <w:left w:val="none" w:sz="0" w:space="0" w:color="auto"/>
            <w:bottom w:val="none" w:sz="0" w:space="0" w:color="auto"/>
            <w:right w:val="none" w:sz="0" w:space="0" w:color="auto"/>
          </w:divBdr>
        </w:div>
        <w:div w:id="2018918369">
          <w:marLeft w:val="0"/>
          <w:marRight w:val="0"/>
          <w:marTop w:val="0"/>
          <w:marBottom w:val="0"/>
          <w:divBdr>
            <w:top w:val="none" w:sz="0" w:space="0" w:color="auto"/>
            <w:left w:val="none" w:sz="0" w:space="0" w:color="auto"/>
            <w:bottom w:val="none" w:sz="0" w:space="0" w:color="auto"/>
            <w:right w:val="none" w:sz="0" w:space="0" w:color="auto"/>
          </w:divBdr>
        </w:div>
      </w:divsChild>
    </w:div>
    <w:div w:id="671375210">
      <w:bodyDiv w:val="1"/>
      <w:marLeft w:val="0"/>
      <w:marRight w:val="0"/>
      <w:marTop w:val="0"/>
      <w:marBottom w:val="0"/>
      <w:divBdr>
        <w:top w:val="none" w:sz="0" w:space="0" w:color="auto"/>
        <w:left w:val="none" w:sz="0" w:space="0" w:color="auto"/>
        <w:bottom w:val="none" w:sz="0" w:space="0" w:color="auto"/>
        <w:right w:val="none" w:sz="0" w:space="0" w:color="auto"/>
      </w:divBdr>
    </w:div>
    <w:div w:id="693187506">
      <w:bodyDiv w:val="1"/>
      <w:marLeft w:val="0"/>
      <w:marRight w:val="0"/>
      <w:marTop w:val="0"/>
      <w:marBottom w:val="0"/>
      <w:divBdr>
        <w:top w:val="none" w:sz="0" w:space="0" w:color="auto"/>
        <w:left w:val="none" w:sz="0" w:space="0" w:color="auto"/>
        <w:bottom w:val="none" w:sz="0" w:space="0" w:color="auto"/>
        <w:right w:val="none" w:sz="0" w:space="0" w:color="auto"/>
      </w:divBdr>
    </w:div>
    <w:div w:id="745302648">
      <w:bodyDiv w:val="1"/>
      <w:marLeft w:val="0"/>
      <w:marRight w:val="0"/>
      <w:marTop w:val="0"/>
      <w:marBottom w:val="0"/>
      <w:divBdr>
        <w:top w:val="none" w:sz="0" w:space="0" w:color="auto"/>
        <w:left w:val="none" w:sz="0" w:space="0" w:color="auto"/>
        <w:bottom w:val="none" w:sz="0" w:space="0" w:color="auto"/>
        <w:right w:val="none" w:sz="0" w:space="0" w:color="auto"/>
      </w:divBdr>
    </w:div>
    <w:div w:id="889222262">
      <w:bodyDiv w:val="1"/>
      <w:marLeft w:val="0"/>
      <w:marRight w:val="0"/>
      <w:marTop w:val="0"/>
      <w:marBottom w:val="0"/>
      <w:divBdr>
        <w:top w:val="none" w:sz="0" w:space="0" w:color="auto"/>
        <w:left w:val="none" w:sz="0" w:space="0" w:color="auto"/>
        <w:bottom w:val="none" w:sz="0" w:space="0" w:color="auto"/>
        <w:right w:val="none" w:sz="0" w:space="0" w:color="auto"/>
      </w:divBdr>
    </w:div>
    <w:div w:id="963660477">
      <w:bodyDiv w:val="1"/>
      <w:marLeft w:val="0"/>
      <w:marRight w:val="0"/>
      <w:marTop w:val="0"/>
      <w:marBottom w:val="0"/>
      <w:divBdr>
        <w:top w:val="none" w:sz="0" w:space="0" w:color="auto"/>
        <w:left w:val="none" w:sz="0" w:space="0" w:color="auto"/>
        <w:bottom w:val="none" w:sz="0" w:space="0" w:color="auto"/>
        <w:right w:val="none" w:sz="0" w:space="0" w:color="auto"/>
      </w:divBdr>
    </w:div>
    <w:div w:id="1357342709">
      <w:bodyDiv w:val="1"/>
      <w:marLeft w:val="0"/>
      <w:marRight w:val="0"/>
      <w:marTop w:val="0"/>
      <w:marBottom w:val="0"/>
      <w:divBdr>
        <w:top w:val="none" w:sz="0" w:space="0" w:color="auto"/>
        <w:left w:val="none" w:sz="0" w:space="0" w:color="auto"/>
        <w:bottom w:val="none" w:sz="0" w:space="0" w:color="auto"/>
        <w:right w:val="none" w:sz="0" w:space="0" w:color="auto"/>
      </w:divBdr>
    </w:div>
    <w:div w:id="1444304712">
      <w:bodyDiv w:val="1"/>
      <w:marLeft w:val="0"/>
      <w:marRight w:val="0"/>
      <w:marTop w:val="0"/>
      <w:marBottom w:val="0"/>
      <w:divBdr>
        <w:top w:val="none" w:sz="0" w:space="0" w:color="auto"/>
        <w:left w:val="none" w:sz="0" w:space="0" w:color="auto"/>
        <w:bottom w:val="none" w:sz="0" w:space="0" w:color="auto"/>
        <w:right w:val="none" w:sz="0" w:space="0" w:color="auto"/>
      </w:divBdr>
    </w:div>
    <w:div w:id="1484540988">
      <w:bodyDiv w:val="1"/>
      <w:marLeft w:val="0"/>
      <w:marRight w:val="0"/>
      <w:marTop w:val="0"/>
      <w:marBottom w:val="0"/>
      <w:divBdr>
        <w:top w:val="none" w:sz="0" w:space="0" w:color="auto"/>
        <w:left w:val="none" w:sz="0" w:space="0" w:color="auto"/>
        <w:bottom w:val="none" w:sz="0" w:space="0" w:color="auto"/>
        <w:right w:val="none" w:sz="0" w:space="0" w:color="auto"/>
      </w:divBdr>
    </w:div>
    <w:div w:id="1648512991">
      <w:bodyDiv w:val="1"/>
      <w:marLeft w:val="0"/>
      <w:marRight w:val="0"/>
      <w:marTop w:val="0"/>
      <w:marBottom w:val="0"/>
      <w:divBdr>
        <w:top w:val="none" w:sz="0" w:space="0" w:color="auto"/>
        <w:left w:val="none" w:sz="0" w:space="0" w:color="auto"/>
        <w:bottom w:val="none" w:sz="0" w:space="0" w:color="auto"/>
        <w:right w:val="none" w:sz="0" w:space="0" w:color="auto"/>
      </w:divBdr>
    </w:div>
    <w:div w:id="1731807615">
      <w:bodyDiv w:val="1"/>
      <w:marLeft w:val="0"/>
      <w:marRight w:val="0"/>
      <w:marTop w:val="0"/>
      <w:marBottom w:val="0"/>
      <w:divBdr>
        <w:top w:val="none" w:sz="0" w:space="0" w:color="auto"/>
        <w:left w:val="none" w:sz="0" w:space="0" w:color="auto"/>
        <w:bottom w:val="none" w:sz="0" w:space="0" w:color="auto"/>
        <w:right w:val="none" w:sz="0" w:space="0" w:color="auto"/>
      </w:divBdr>
    </w:div>
    <w:div w:id="206374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khaukta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C2C14-7EF5-4C68-85F6-AEC02CFE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15</Pages>
  <Words>22330</Words>
  <Characters>127286</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Olvi</dc:creator>
  <cp:lastModifiedBy>Bertalina Umar</cp:lastModifiedBy>
  <cp:revision>33</cp:revision>
  <cp:lastPrinted>2020-06-19T05:35:00Z</cp:lastPrinted>
  <dcterms:created xsi:type="dcterms:W3CDTF">2024-06-20T06:28:00Z</dcterms:created>
  <dcterms:modified xsi:type="dcterms:W3CDTF">2024-06-26T16:43:00Z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f9fdb901-79aa-3b72-a0c4-f6218e370f37</vt:lpwstr>
  </property>
</Properties>
</file>