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Arial" w:hAnsi="Arial" w:cs="Arial"/>
          <w:b/>
          <w:sz w:val="22"/>
          <w:szCs w:val="22"/>
        </w:rPr>
      </w:pPr>
      <w:r>
        <w:rPr>
          <w:rFonts w:ascii="Arial" w:hAnsi="Arial" w:cs="Arial"/>
          <w:b/>
          <w:sz w:val="22"/>
          <w:szCs w:val="22"/>
        </w:rPr>
        <w:t xml:space="preserve">Efektivitas Aromaterapi Pepperlav (Peppermint dan Lavender) Inhalasi Terhadap Mual dan Muntah Ibu Hamil Trimester I </w:t>
      </w:r>
    </w:p>
    <w:p>
      <w:pPr>
        <w:spacing w:after="0" w:line="240" w:lineRule="auto"/>
        <w:jc w:val="center"/>
        <w:rPr>
          <w:rFonts w:ascii="Arial" w:hAnsi="Arial" w:cs="Arial"/>
          <w:b/>
          <w:sz w:val="22"/>
          <w:szCs w:val="22"/>
          <w:vertAlign w:val="superscript"/>
        </w:rPr>
      </w:pPr>
      <w:r>
        <w:rPr>
          <w:rFonts w:ascii="Arial" w:hAnsi="Arial" w:cs="Arial"/>
          <w:b/>
          <w:sz w:val="22"/>
          <w:szCs w:val="22"/>
        </w:rPr>
        <w:t>Isti Chana Zuliyati</w:t>
      </w:r>
      <w:r>
        <w:rPr>
          <w:rFonts w:ascii="Arial" w:hAnsi="Arial" w:cs="Arial"/>
          <w:b/>
          <w:sz w:val="22"/>
          <w:szCs w:val="22"/>
          <w:vertAlign w:val="superscript"/>
        </w:rPr>
        <w:t>1*</w:t>
      </w:r>
      <w:r>
        <w:rPr>
          <w:rFonts w:ascii="Arial" w:hAnsi="Arial" w:cs="Arial"/>
          <w:b/>
          <w:sz w:val="22"/>
          <w:szCs w:val="22"/>
        </w:rPr>
        <w:t>, Annisa Fatmawati</w:t>
      </w:r>
      <w:r>
        <w:rPr>
          <w:rFonts w:ascii="Arial" w:hAnsi="Arial" w:cs="Arial"/>
          <w:b/>
          <w:sz w:val="22"/>
          <w:szCs w:val="22"/>
          <w:vertAlign w:val="superscript"/>
        </w:rPr>
        <w:t>2</w:t>
      </w:r>
      <w:r>
        <w:rPr>
          <w:rFonts w:ascii="Arial" w:hAnsi="Arial" w:cs="Arial"/>
          <w:b/>
          <w:sz w:val="22"/>
          <w:szCs w:val="22"/>
        </w:rPr>
        <w:t>, Sundari Mulyaningsih</w:t>
      </w:r>
      <w:r>
        <w:rPr>
          <w:rFonts w:ascii="Arial" w:hAnsi="Arial" w:cs="Arial"/>
          <w:b/>
          <w:sz w:val="22"/>
          <w:szCs w:val="22"/>
          <w:vertAlign w:val="superscript"/>
        </w:rPr>
        <w:t>1</w:t>
      </w:r>
      <w:r>
        <w:rPr>
          <w:rFonts w:ascii="Arial" w:hAnsi="Arial" w:cs="Arial"/>
          <w:b/>
          <w:sz w:val="22"/>
          <w:szCs w:val="22"/>
          <w:vertAlign w:val="superscript"/>
        </w:rPr>
        <w:t xml:space="preserve"> </w:t>
      </w:r>
    </w:p>
    <w:p>
      <w:pPr>
        <w:spacing w:before="0" w:beforeAutospacing="0" w:after="0" w:line="240" w:lineRule="auto"/>
        <w:jc w:val="center"/>
        <w:rPr>
          <w:rFonts w:ascii="Arial" w:hAnsi="Arial" w:cs="Arial"/>
          <w:sz w:val="22"/>
          <w:szCs w:val="22"/>
        </w:rPr>
      </w:pPr>
      <w:r>
        <w:rPr>
          <w:rFonts w:ascii="Arial" w:hAnsi="Arial" w:cs="Arial"/>
          <w:sz w:val="22"/>
          <w:szCs w:val="22"/>
          <w:vertAlign w:val="superscript"/>
        </w:rPr>
        <w:t>1</w:t>
      </w:r>
      <w:r>
        <w:rPr>
          <w:rFonts w:ascii="Arial" w:hAnsi="Arial" w:cs="Arial"/>
          <w:sz w:val="22"/>
          <w:szCs w:val="22"/>
        </w:rPr>
        <w:t xml:space="preserve"> Departement of Midwifery, Alma Ata University, Yogyakarta, Indonesia </w:t>
      </w:r>
    </w:p>
    <w:p>
      <w:pPr>
        <w:spacing w:before="0" w:beforeAutospacing="0" w:after="0" w:line="240" w:lineRule="auto"/>
        <w:jc w:val="center"/>
        <w:rPr>
          <w:rFonts w:ascii="Arial" w:hAnsi="Arial" w:cs="Arial"/>
          <w:sz w:val="22"/>
          <w:szCs w:val="22"/>
        </w:rPr>
      </w:pPr>
      <w:r>
        <w:rPr>
          <w:rFonts w:ascii="Arial" w:hAnsi="Arial" w:cs="Arial"/>
          <w:sz w:val="22"/>
          <w:szCs w:val="22"/>
          <w:vertAlign w:val="superscript"/>
        </w:rPr>
        <w:t>2</w:t>
      </w:r>
      <w:r>
        <w:rPr>
          <w:rFonts w:ascii="Arial" w:hAnsi="Arial" w:cs="Arial"/>
          <w:sz w:val="22"/>
          <w:szCs w:val="22"/>
        </w:rPr>
        <w:t xml:space="preserve"> Departement of Pharmacy, Alma Ata University, Yogyakarta, Indonesia</w:t>
      </w:r>
    </w:p>
    <w:p>
      <w:pPr>
        <w:spacing w:before="0" w:beforeAutospacing="0" w:after="0" w:line="240" w:lineRule="auto"/>
        <w:jc w:val="center"/>
        <w:rPr>
          <w:rFonts w:ascii="Arial" w:hAnsi="Arial" w:cs="Arial"/>
          <w:sz w:val="22"/>
          <w:szCs w:val="22"/>
        </w:rPr>
      </w:pPr>
      <w:r>
        <w:rPr>
          <w:sz w:val="22"/>
          <w:szCs w:val="22"/>
        </w:rPr>
        <w:fldChar w:fldCharType="begin"/>
      </w:r>
      <w:r>
        <w:rPr>
          <w:sz w:val="22"/>
          <w:szCs w:val="22"/>
        </w:rPr>
        <w:instrText xml:space="preserve"> HYPERLINK "mailto:*isti.chana@almaata.ac.id" </w:instrText>
      </w:r>
      <w:r>
        <w:rPr>
          <w:sz w:val="22"/>
          <w:szCs w:val="22"/>
        </w:rPr>
        <w:fldChar w:fldCharType="separate"/>
      </w:r>
      <w:r>
        <w:rPr>
          <w:rStyle w:val="9"/>
          <w:rFonts w:ascii="Arial" w:hAnsi="Arial" w:cs="Arial"/>
          <w:sz w:val="22"/>
          <w:szCs w:val="22"/>
        </w:rPr>
        <w:t>*isti.chana@almaata.ac.id</w:t>
      </w:r>
      <w:r>
        <w:rPr>
          <w:rStyle w:val="9"/>
          <w:rFonts w:ascii="Arial" w:hAnsi="Arial" w:cs="Arial"/>
          <w:sz w:val="22"/>
          <w:szCs w:val="22"/>
        </w:rPr>
        <w:fldChar w:fldCharType="end"/>
      </w:r>
      <w:r>
        <w:rPr>
          <w:rFonts w:ascii="Arial" w:hAnsi="Arial" w:cs="Arial"/>
          <w:sz w:val="22"/>
          <w:szCs w:val="22"/>
        </w:rPr>
        <w:t xml:space="preserve"> </w:t>
      </w:r>
    </w:p>
    <w:p>
      <w:pPr>
        <w:spacing w:after="0"/>
        <w:jc w:val="center"/>
        <w:rPr>
          <w:rFonts w:ascii="Arial" w:hAnsi="Arial" w:cs="Arial"/>
          <w:b/>
          <w:sz w:val="22"/>
          <w:szCs w:val="22"/>
        </w:rPr>
      </w:pPr>
      <w:r>
        <w:rPr>
          <w:rFonts w:ascii="Arial" w:hAnsi="Arial" w:cs="Arial"/>
          <w:b/>
          <w:sz w:val="22"/>
          <w:szCs w:val="22"/>
        </w:rPr>
        <w:t>Abstract</w:t>
      </w:r>
    </w:p>
    <w:p>
      <w:pPr>
        <w:spacing w:after="0"/>
        <w:ind w:firstLine="720"/>
        <w:jc w:val="both"/>
        <w:rPr>
          <w:rFonts w:ascii="Arial" w:hAnsi="Arial" w:cs="Arial"/>
          <w:sz w:val="22"/>
          <w:szCs w:val="22"/>
        </w:rPr>
      </w:pPr>
      <w:r>
        <w:rPr>
          <w:rFonts w:ascii="Arial" w:hAnsi="Arial" w:cs="Arial"/>
          <w:sz w:val="22"/>
          <w:szCs w:val="22"/>
        </w:rPr>
        <w:t>Mual dan muntah pada ibu hamil trimester I dapat mempengaruhi asupan gizi pada ibu dan janin. Hal ini dapat mempengaruhi pertumbuhan dan perkembangan janin terutama pada trimester I yang merupakan fase pembentukan organ janin. Penelitan ini bertujuan untuk memberikan suatu aromaterapi Pepperlav (formulasi peppermint dan lavender) pada ibu hamil untuk mengatasi mual dan muntah. Responden pada penelitian ini adalah 40 ibu hamil trimester 1 di Praktek Mandiri Bidan wilayah Bantul. Pengumpulan data dilakukan dengan wawancara dan pengisian kuesioner yang mengukur mual muntah sebelum intervensi dan sesudah internvensi. Kuesioner yang digunakan adalah RINVR yang valid dan reliabel. Intervensi yang dilakukan dengan pemberian aromaterapi Pepperlav dengan formulasi F1B (40:50:10), F2B (30:60:10), F3B (20:70:10) dengan based note VCO yang telah memenuhi uji stabilitas fisik, homogenitas, pengukuran PH, uji daya sebar dan lekat, uji keamanan produk dan uji kesukaan yang dilakukan pada perempuan yang tidak hamil. Berdasarkan uji statistik dengan analisis uji Paired t Test nilai p : 0.001, hal ini menunjukkan bahwa nilai p&lt;0.05, ada efek yang signifikan pada pemberian aromaterapi pepperlav pada formulasi F1B (kombinasi 40% peppermint, 50% Lavender dan 10% VCO).</w:t>
      </w:r>
    </w:p>
    <w:p>
      <w:pPr>
        <w:spacing w:after="0"/>
        <w:rPr>
          <w:rFonts w:ascii="Arial" w:hAnsi="Arial" w:cs="Arial"/>
          <w:sz w:val="22"/>
          <w:szCs w:val="22"/>
        </w:rPr>
      </w:pPr>
      <w:r>
        <w:rPr>
          <w:rFonts w:ascii="Arial" w:hAnsi="Arial" w:cs="Arial"/>
          <w:b/>
          <w:sz w:val="22"/>
          <w:szCs w:val="22"/>
        </w:rPr>
        <w:t>Keywords:</w:t>
      </w:r>
      <w:r>
        <w:rPr>
          <w:rFonts w:ascii="Arial" w:hAnsi="Arial" w:cs="Arial"/>
          <w:sz w:val="22"/>
          <w:szCs w:val="22"/>
        </w:rPr>
        <w:t xml:space="preserve"> mual dan muntah; aromaterapi; peppermint ; lavender</w:t>
      </w:r>
    </w:p>
    <w:p>
      <w:pPr>
        <w:spacing w:after="0"/>
        <w:jc w:val="center"/>
        <w:rPr>
          <w:rFonts w:ascii="Arial" w:hAnsi="Arial" w:cs="Arial"/>
          <w:b/>
          <w:sz w:val="22"/>
          <w:szCs w:val="22"/>
        </w:rPr>
      </w:pPr>
      <w:r>
        <w:rPr>
          <w:rFonts w:ascii="Arial" w:hAnsi="Arial" w:cs="Arial"/>
          <w:b/>
          <w:sz w:val="22"/>
          <w:szCs w:val="22"/>
        </w:rPr>
        <w:t>The Effectiveness Of Pepperlav Aromatherapy (Peppermint And Lavender) Inhalation On Nausea and Vomiting of Pregnancy</w:t>
      </w:r>
    </w:p>
    <w:p>
      <w:pPr>
        <w:spacing w:before="0" w:beforeAutospacing="0" w:after="0"/>
        <w:jc w:val="center"/>
        <w:rPr>
          <w:rFonts w:ascii="Arial" w:hAnsi="Arial" w:cs="Arial"/>
          <w:b/>
          <w:sz w:val="22"/>
          <w:szCs w:val="22"/>
        </w:rPr>
      </w:pPr>
    </w:p>
    <w:p>
      <w:pPr>
        <w:spacing w:before="0" w:beforeAutospacing="0" w:after="0"/>
        <w:jc w:val="center"/>
        <w:rPr>
          <w:rFonts w:ascii="Arial" w:hAnsi="Arial" w:cs="Arial"/>
          <w:b/>
          <w:sz w:val="22"/>
          <w:szCs w:val="22"/>
        </w:rPr>
      </w:pPr>
      <w:r>
        <w:rPr>
          <w:rFonts w:ascii="Arial" w:hAnsi="Arial" w:cs="Arial"/>
          <w:b/>
          <w:sz w:val="22"/>
          <w:szCs w:val="22"/>
        </w:rPr>
        <w:t xml:space="preserve">Abstract </w:t>
      </w:r>
    </w:p>
    <w:p>
      <w:pPr>
        <w:spacing w:before="0" w:beforeAutospacing="0" w:after="0"/>
        <w:ind w:firstLine="720"/>
        <w:jc w:val="both"/>
        <w:rPr>
          <w:rFonts w:ascii="Arial" w:hAnsi="Arial" w:cs="Arial"/>
          <w:sz w:val="22"/>
          <w:szCs w:val="22"/>
        </w:rPr>
      </w:pPr>
      <w:r>
        <w:rPr>
          <w:rFonts w:ascii="Arial" w:hAnsi="Arial" w:cs="Arial"/>
          <w:sz w:val="22"/>
          <w:szCs w:val="22"/>
        </w:rPr>
        <w:t xml:space="preserve">Nausea and vomiting in the first trimester of pregnant women can affect malnutrition in the mother and fetus. This can affect fetal growth and development, especially in the first trimester, which is the phase of fetal organ formation. This research aims to provide an aromatherapy Pepperlav (peppermint and lavender formulation) to pregnant women to treat nausea and vomiting. Respondents in this study were 40 trimester 1 pregnant women in independent midwife practice in Bantu area. Data collection was carried out by interviewing and filling out a questionnaire that measured nausea and vomiting before the intervention and after the intervention. The questionnaire used was a valid and reliable RINVR. The intervention was carried out by giving Pepperlav aromatherapy with the formulations Formula 1 (40:50:10), Formula 2 (30:60:10), Formula 3 (20:70:10) with VCO based notes that have met the physical stability, homogeneity, and PH measurements. , spreadability and adhesiveness test, product safety test and preference test performed on non-pregnant women. Based on statistical tests with Paired t test analysis p value: 0.001, this shows that the p value &lt;0.05, there is a significant effect on the administration of pepperlav aromatherapy in Formula 1 formulation (a combination of 40% peppermint, 50% Lavender and 10% VCO. </w:t>
      </w:r>
    </w:p>
    <w:p>
      <w:pPr>
        <w:spacing w:before="0" w:beforeAutospacing="0" w:after="120" w:afterLines="50" w:line="257" w:lineRule="auto"/>
        <w:jc w:val="both"/>
        <w:rPr>
          <w:rFonts w:ascii="Arial" w:hAnsi="Arial" w:cs="Arial"/>
          <w:sz w:val="22"/>
          <w:szCs w:val="22"/>
        </w:rPr>
      </w:pPr>
      <w:r>
        <w:rPr>
          <w:rFonts w:ascii="Arial" w:hAnsi="Arial" w:cs="Arial"/>
          <w:b/>
          <w:sz w:val="22"/>
          <w:szCs w:val="22"/>
        </w:rPr>
        <w:t>Keywords:</w:t>
      </w:r>
      <w:r>
        <w:rPr>
          <w:rFonts w:ascii="Arial" w:hAnsi="Arial" w:cs="Arial"/>
          <w:sz w:val="22"/>
          <w:szCs w:val="22"/>
        </w:rPr>
        <w:t xml:space="preserve"> nausea and vomiting; aromatherapy; peppermint; lavender</w:t>
      </w:r>
    </w:p>
    <w:p>
      <w:pPr>
        <w:spacing w:before="0" w:beforeAutospacing="0" w:after="0" w:line="240" w:lineRule="auto"/>
        <w:rPr>
          <w:rFonts w:ascii="Arial" w:hAnsi="Arial" w:cs="Arial"/>
          <w:b/>
          <w:sz w:val="24"/>
          <w:szCs w:val="24"/>
        </w:rPr>
      </w:pPr>
      <w:r>
        <w:rPr>
          <w:rFonts w:ascii="Arial" w:hAnsi="Arial" w:cs="Arial"/>
          <w:b/>
          <w:sz w:val="24"/>
          <w:szCs w:val="24"/>
        </w:rPr>
        <w:t>INTRODUCTION</w:t>
      </w:r>
    </w:p>
    <w:p>
      <w:pPr>
        <w:spacing w:after="0" w:line="240" w:lineRule="auto"/>
        <w:ind w:firstLine="720"/>
        <w:jc w:val="both"/>
        <w:rPr>
          <w:rFonts w:ascii="Arial" w:hAnsi="Arial" w:cs="Arial"/>
          <w:sz w:val="24"/>
          <w:szCs w:val="24"/>
        </w:rPr>
      </w:pPr>
      <w:r>
        <w:rPr>
          <w:rFonts w:ascii="Arial" w:hAnsi="Arial" w:cs="Arial"/>
          <w:sz w:val="24"/>
          <w:szCs w:val="24"/>
        </w:rPr>
        <w:t xml:space="preserve">Nausea and vomiting in pregnant women or emesis gravidarum is a condition of nausea which is sometimes accompanied by vomiting about 5 times a day. The percentage of pregnant women who experience nausea and vomiting is 80% of the total pregnant women in the world. </w:t>
      </w:r>
      <w:r>
        <w:rPr>
          <w:rFonts w:hint="default" w:ascii="Arial" w:hAnsi="Arial" w:cs="Arial"/>
          <w:sz w:val="24"/>
          <w:szCs w:val="24"/>
          <w:lang w:val="en-US"/>
        </w:rPr>
        <w:t xml:space="preserve">The condition of nausea and vomiting in pregnant women can affect the fetus, namely the nutrients absorbed by the fetus and the behavior and emotions of the mother during pregnancy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{"citationItems":[{"id":"ITEM-1","itemData":{"DOI":"10.1371/journal.pone.0027678","author":[{"dropping-particle":"","family":"Mccarthy","given":"Fergus P","non-dropping-particle":"","parse-names":false,"suffix":""},{"dropping-particle":"","family":"Khashan","given":"Ali S","non-dropping-particle":"","parse-names":false,"suffix":""},{"dropping-particle":"","family":"North","given":"Robyn A","non-dropping-particle":"","parse-names":false,"suffix":""},{"dropping-particle":"","family":"Moss-morris","given":"Rona","non-dropping-particle":"","parse-names":false,"suffix":""},{"dropping-particle":"","family":"Baker","given":"Philip N","non-dropping-particle":"","parse-names":false,"suffix":""},{"dropping-particle":"","family":"Dekker","given":"Gus","non-dropping-particle":"","parse-names":false,"suffix":""},{"dropping-particle":"","family":"Poston","given":"Lucilla","non-dropping-particle":"","parse-names":false,"suffix":""},{"dropping-particle":"","family":"Kenny","given":"Louise C","non-dropping-particle":"","parse-names":false,"suffix":""}],"container-title":"PLos One","id":"ITEM-1","issue":"11","issued":{"date-parts":[["2011"]]},"page":"1-7","title":"A Prospective Cohort Study Investigating Associations between Hyperemesis Gravidarum and Cognitive , Behavioural and Emotional Well-Being in Pregnancy","type":"article-journal","volume":"6"},"uris":["http://www.mendeley.com/documents/?uuid=ec9f73a7-8aca-479b-846d-92be82e4c0ca"]}],"mendeley":{"formattedCitation":"(1)","plainTextFormattedCitation":"(1)","previouslyFormattedCitation":"(1)"},"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(1)</w:t>
      </w:r>
      <w:r>
        <w:rPr>
          <w:rFonts w:ascii="Arial" w:hAnsi="Arial" w:cs="Arial"/>
          <w:sz w:val="24"/>
          <w:szCs w:val="24"/>
        </w:rPr>
        <w:fldChar w:fldCharType="end"/>
      </w:r>
      <w:r>
        <w:rPr>
          <w:rFonts w:ascii="Arial" w:hAnsi="Arial" w:cs="Arial"/>
          <w:sz w:val="24"/>
          <w:szCs w:val="24"/>
        </w:rPr>
        <w:t>.</w:t>
      </w:r>
      <w:r>
        <w:rPr>
          <w:rFonts w:hint="default" w:ascii="Arial" w:hAnsi="Arial" w:cs="Arial"/>
          <w:sz w:val="24"/>
          <w:szCs w:val="24"/>
          <w:lang w:val="en-US"/>
        </w:rPr>
        <w:t xml:space="preserve"> </w:t>
      </w:r>
      <w:r>
        <w:rPr>
          <w:rFonts w:ascii="Arial" w:hAnsi="Arial" w:cs="Arial"/>
          <w:sz w:val="24"/>
          <w:szCs w:val="24"/>
        </w:rPr>
        <w:t xml:space="preserve">The nutritional well-being of the fetus in the womb is very important to pay attention to during pregnancy. The formation of organs in the fetus occurs in the first trimester, where in early pregnancy, the mother often experiences nausea and vomiting. The condition of nausea and vomiting causes reduced nutritional intake in pregnant women, the food consumed cannot be absorbed optimally. If nutrition in the first trimester of pregnancy is not fulfilled properly, it can affect the growth and development of the baby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{"citationItems":[{"id":"ITEM-1","itemData":{"DOI":"10.1371/journal.pone.0027678","author":[{"dropping-particle":"","family":"Mccarthy","given":"Fergus P","non-dropping-particle":"","parse-names":false,"suffix":""},{"dropping-particle":"","family":"Khashan","given":"Ali S","non-dropping-particle":"","parse-names":false,"suffix":""},{"dropping-particle":"","family":"North","given":"Robyn A","non-dropping-particle":"","parse-names":false,"suffix":""},{"dropping-particle":"","family":"Moss-morris","given":"Rona","non-dropping-particle":"","parse-names":false,"suffix":""},{"dropping-particle":"","family":"Baker","given":"Philip N","non-dropping-particle":"","parse-names":false,"suffix":""},{"dropping-particle":"","family":"Dekker","given":"Gus","non-dropping-particle":"","parse-names":false,"suffix":""},{"dropping-particle":"","family":"Poston","given":"Lucilla","non-dropping-particle":"","parse-names":false,"suffix":""},{"dropping-particle":"","family":"Kenny","given":"Louise C","non-dropping-particle":"","parse-names":false,"suffix":""}],"container-title":"PLos One","id":"ITEM-1","issue":"11","issued":{"date-parts":[["2011"]]},"page":"1-7","title":"A Prospective Cohort Study Investigating Associations between Hyperemesis Gravidarum and Cognitive , Behavioural and Emotional Well-Being in Pregnancy","type":"article-journal","volume":"6"},"uris":["http://www.mendeley.com/documents/?uuid=ec9f73a7-8aca-479b-846d-92be82e4c0ca"]}],"mendeley":{"formattedCitation":"(1)","plainTextFormattedCitation":"(1)","previouslyFormattedCitation":"(1)"},"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(1)</w:t>
      </w:r>
      <w:r>
        <w:rPr>
          <w:rFonts w:ascii="Arial" w:hAnsi="Arial" w:cs="Arial"/>
          <w:sz w:val="24"/>
          <w:szCs w:val="24"/>
        </w:rPr>
        <w:fldChar w:fldCharType="end"/>
      </w:r>
      <w:r>
        <w:rPr>
          <w:rFonts w:ascii="Arial" w:hAnsi="Arial" w:cs="Arial"/>
          <w:sz w:val="24"/>
          <w:szCs w:val="24"/>
        </w:rPr>
        <w:t xml:space="preserve">. </w:t>
      </w:r>
    </w:p>
    <w:p>
      <w:pPr>
        <w:spacing w:before="0" w:beforeAutospacing="0" w:after="0" w:line="240" w:lineRule="auto"/>
        <w:ind w:firstLine="720"/>
        <w:jc w:val="both"/>
        <w:rPr>
          <w:rFonts w:ascii="Arial" w:hAnsi="Arial" w:cs="Arial"/>
          <w:sz w:val="24"/>
          <w:szCs w:val="24"/>
        </w:rPr>
      </w:pPr>
      <w:r>
        <w:rPr>
          <w:rFonts w:ascii="Arial" w:hAnsi="Arial" w:cs="Arial"/>
          <w:sz w:val="24"/>
          <w:szCs w:val="24"/>
        </w:rPr>
        <w:t xml:space="preserve">Prevention of nausea and vomiting in the first trimester of pregnancy is very important. So far, prevention of nausea and vomiting for pregnant women uses synthetic drugs or a mixture of drugs and vitamins, where the use of synthetic drugs can cause side effects. Only 29.5% of pregnant women receive non-pharmacotherapy </w:t>
      </w:r>
      <w:r>
        <w:rPr>
          <w:rFonts w:ascii="Arial" w:hAnsi="Arial" w:cs="Arial"/>
          <w:sz w:val="24"/>
          <w:szCs w:val="24"/>
        </w:rPr>
        <w:fldChar w:fldCharType="begin" w:fldLock="1"/>
      </w:r>
      <w:r>
        <w:rPr>
          <w:rFonts w:ascii="Arial" w:hAnsi="Arial" w:cs="Arial"/>
          <w:sz w:val="24"/>
          <w:szCs w:val="24"/>
        </w:rPr>
        <w:instrText xml:space="preserve">ADDIN CSL_CITATION {"citationItems":[{"id":"ITEM-1","itemData":{"abstract":"Mual dan muntah pada ibu hamil atau yang disebut dengan nausea and vomiting in pregnancy (NVP) adalah salah satu penyebab tingginya angka morbiditas ibu hamil yang hingga saat ini belum diketahui terapi definitifnya. NVP dengan manifestasi gejala yang berat disebut dengan Hiperemesis Gravidarum (HG). Penelitian ini bertujuan untuk mengetahui pola pengobatan NVP oleh praktisi kesehatan di kota Denpasar. Penelitian bertempat di praktek dokter spesialis obstetri dan ginekologi dan bidan di kota Denpasar yang dipilih secara simple random sampling. Populasi adalah seluruh ibu hamil dengan NVP yang berkunjung ke praktek swasta dokter spesialis obstetri dan ginekologi dan bidan di kota Denpasar dalam jangka waktu Januari-Mei 2014. Rancangan yang digunakan adalah studi cross-sectional dengan pemilihan sampel secara total sampling dan digunakan sampel sejumlah 88 ibu hamil. Data dikumpulkan dari rekam medis pasien dan dipindahkan ke formulir penelitian. Data yang didapatkan dianalisis lebih lanjut secara deskriptif. Secara umum didapatkan proporsi pemberian farmakoterapi kepada pasien NVP lebih tinggi (70,5%) dibandingkan non-farmakoterapi (29,5%) dengan seluruh pasien HG diberikan farmakoterapi. Jenis farmakoterapi yang paling dominan dipilih secara umum adalah vitamin B6 (56,5%). Dokter spesialis obstetri dan ginekologi dominan memilih inhibitor serotonin dan bidan dominan memilih vitamin B6. Dapat disimpulkan bahwa farmakoterapi merupakan pilihan dominan dalam terapi NVP dengan vitamin B6 yang mendominasi. Seluruh pasien HG mendapatkan farmakoterapi. Disarankan untuk melakukan penelitian lebih lanjut lagi dengan jangka waktu dan tempat penelitian yang lebih banyak untuk mengetahui kondisi terapi NVP di lapangan dan pilihan farmakoterapi para praktisi kesehatan untuk menangani NVP.","author":[{"dropping-particle":"","family":"Widiasari","given":"Ni Putu Ayu","non-dropping-particle":"","parse-names":false,"suffix":""},{"dropping-particle":"","family":"Trapika","given":"I Gusti Made Surya Chandra","non-dropping-particle":"","parse-names":false,"suffix":""}],"container-title":"E-Jurnal Medika","id":"ITEM-1","issue":"5","issued":{"date-parts":[["2017"]]},"page":"28-35","title":"Pola Pemberian Terapi Mual dan Muntah pada Ibu Hamil oleh Doktter Spesialis Obstetri dan Ginekologi serta Bidan di Kota Denpasar","type":"article-journal","volume":"6"},"uris":["http://www.mendeley.com/documents/?uuid=4157cb13-342b-4f84-91ba-e128db12608b"]}],"mendeley":{"formattedCitation":"(2)","plainTextFormattedCitation":"(2)","previouslyFormattedCitation":"(2)"},"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(2)</w:t>
      </w:r>
      <w:r>
        <w:rPr>
          <w:rFonts w:ascii="Arial" w:hAnsi="Arial" w:cs="Arial"/>
          <w:sz w:val="24"/>
          <w:szCs w:val="24"/>
        </w:rPr>
        <w:fldChar w:fldCharType="end"/>
      </w:r>
      <w:r>
        <w:rPr>
          <w:rFonts w:ascii="Arial" w:hAnsi="Arial" w:cs="Arial"/>
          <w:sz w:val="24"/>
          <w:szCs w:val="24"/>
        </w:rPr>
        <w:t xml:space="preserve">. Most antiemetics for pregnant women should not be consumed by pregnant women with a gestational age of less than 12 weeks because it can increase the risk of developing disorders and fetal growth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{"citationItems":[{"id":"ITEM-1","itemData":{"DOI":"10.3909/riog0176)","ISSN":"00071447","PMID":"22866186","author":[{"dropping-particle":"DO","family":"Wegrzyniak","given":"Lindsey J.","non-dropping-particle":"","parse-names":false,"suffix":""},{"dropping-particle":"","family":"John T.Repke","given":"MD","non-dropping-particle":"","parse-names":false,"suffix":""},{"dropping-particle":"","family":"Serdar H. Ural","given":"MD","non-dropping-particle":"","parse-names":false,"suffix":""}],"id":"ITEM-1","issued":{"date-parts":[["2012"]]},"page":"78-84","title":"Treatment of hyperemesis gravidarum","type":"article-journal","volume":"2"},"uris":["http://www.mendeley.com/documents/?uuid=b7b56ca5-9edc-4f9b-bd05-42ccabbf35f2"]}],"mendeley":{"formattedCitation":"(3)","plainTextFormattedCitation":"(3)","previouslyFormattedCitation":"(3)"},"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(3)</w:t>
      </w:r>
      <w:r>
        <w:rPr>
          <w:rFonts w:ascii="Arial" w:hAnsi="Arial" w:cs="Arial"/>
          <w:sz w:val="24"/>
          <w:szCs w:val="24"/>
        </w:rPr>
        <w:fldChar w:fldCharType="end"/>
      </w:r>
      <w:r>
        <w:rPr>
          <w:rFonts w:ascii="Arial" w:hAnsi="Arial" w:cs="Arial"/>
          <w:sz w:val="24"/>
          <w:szCs w:val="24"/>
        </w:rPr>
        <w:t>. Attempt to relieve nausea and vomiting in pregnant women can be formulated aromatherapy inhalation preparations from natural ingredients. It is hoped that the use of natural ingredients for the prevention of nausea and vomiting of pregnant women can reduce the condition of nausea and vomiting and that the nutrition of mothers and babies since the beginning of pregnancy is completely fulfilled. The solution offered to pregnant women who experience nausea and vomiting is inhaled aromatherapy preparations, which are a combination formulation of peppermint oil and lavender oil.</w:t>
      </w:r>
    </w:p>
    <w:p>
      <w:pPr>
        <w:spacing w:before="0" w:beforeAutospacing="0" w:after="0" w:line="240" w:lineRule="auto"/>
        <w:ind w:firstLine="720"/>
        <w:jc w:val="both"/>
        <w:rPr>
          <w:rFonts w:ascii="Arial" w:hAnsi="Arial" w:cs="Arial"/>
          <w:sz w:val="24"/>
          <w:szCs w:val="24"/>
        </w:rPr>
      </w:pPr>
      <w:r>
        <w:rPr>
          <w:rFonts w:ascii="Arial" w:hAnsi="Arial" w:cs="Arial"/>
          <w:sz w:val="24"/>
          <w:szCs w:val="24"/>
        </w:rPr>
        <w:t xml:space="preserve">Peppermint is included in the top notes class and lavender is included in the middle notes essential oil class, where in the aromatherapy formulation it is necessary to pay attention to making the right composition of the aromatherapy formula / blended essential oil preparation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{"citationItems":[{"id":"ITEM-1","itemData":{"DOI":"10.7324/JAPS.2018.8418","ISSN":"22313354","abstract":"The objective of this study was to develop aroma massage oil containing natural oils for relieving muscle pain and evaluate users' satisfaction. In addition, the skin irritation and skin sensitization of products were tested by using the Kligman maximization method. Seven essential oils were used as an active ingredient in the formula. Six carrier oils were used as a carrier oil in the formula. Tests of odor preference and odor acceptance of products were investigated in sixty-one consumers. The products were evaluated the preliminary physical stability in terms of color, smell, rancidity, viscosity, and precipitation, for a period of eight weeks. In addition, thirty consumers participated in the satisfaction evaluation. The results showed that consumers gave the most preference and acceptance to a blended essential oil preparation 1 (BEOP1) which composed of rosemary, lavender, patchouli, eucalyptus, and peppermint oils. The consumers gave an overall satisfied with carrier oil formulas which consisted of sweet almond, grape seed, avocado, jojoba oils, and macadamia oils. A massage oil formula which composed of BEOP1, vitamin E acetate, isopropyl myristate, and carrier oils gave the best physical characteristics. Moreover, developed massage oil remained stable for 8 weeks. No skin irritation and no skin sensitization were observed after volunteers applied to developed massage oil on the inner forearm for two weeks. Therefore, it could be suggested that developed massage oil was safety.","author":[{"dropping-particle":"","family":"Hongratanaworakit","given":"Tapanee","non-dropping-particle":"","parse-names":false,"suffix":""},{"dropping-particle":"","family":"Soontornmanokul","given":"Sukanya","non-dropping-particle":"","parse-names":false,"suffix":""},{"dropping-particle":"","family":"Wongareesanti","given":"Phattarapond","non-dropping-particle":"","parse-names":false,"suffix":""}],"container-title":"Journal of Applied Pharmaceutical Science","id":"ITEM-1","issue":"4","issued":{"date-parts":[["2018"]]},"page":"126-130","title":"Development of aroma massage oil for relieving muscle pain and satisfaction evaluation in humans","type":"article-journal","volume":"8"},"uris":["http://www.mendeley.com/documents/?uuid=24901832-2fdb-4fd9-8cef-9db29675db36"]}],"mendeley":{"formattedCitation":"(4)","plainTextFormattedCitation":"(4)","previouslyFormattedCitation":"(4)"},"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(4)</w:t>
      </w:r>
      <w:r>
        <w:rPr>
          <w:rFonts w:ascii="Arial" w:hAnsi="Arial" w:cs="Arial"/>
          <w:sz w:val="24"/>
          <w:szCs w:val="24"/>
        </w:rPr>
        <w:fldChar w:fldCharType="end"/>
      </w:r>
      <w:r>
        <w:rPr>
          <w:rFonts w:ascii="Arial" w:hAnsi="Arial" w:cs="Arial"/>
          <w:sz w:val="24"/>
          <w:szCs w:val="24"/>
        </w:rPr>
        <w:t xml:space="preserve">. Research by R. Hunt et al., (2013) states that inhaling mixed essential oils will minimize episodes of nausea and vomiting among pregnant women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{"citationItems":[{"id":"ITEM-1","itemData":{"DOI":"10.1213/ANE.0b013e31824a0b1c","ISSN":"00032999","PMID":"22392970","abstract":"Background: Postoperative nausea (PON) is a common complication of anesthesia and surgery. Antiemetic medication for higher-risk patients may reduce but does not reliably prevent PON. We examined aromatherapy as a treatment for patients experiencing PON after ambulatory surgery. Our primary hypothesis was that in comparison with inhaling a placebo, PON will be reduced significantly by aromatherapy with (1) essential oil of ginger, (2) a blend of essential oils of ginger, spearmint, peppermint, and cardamom, or (3) isopropyl alcohol. Our secondary hypothesis was that the effectiveness of aromatherapy will depend upon the agent used. Methods: A randomized trial of aromatherapy with patients who reported nausea in the postanesthesia care unit was conducted at one ambulatory surgical center. Eligibility criteria were adult, able to give consent, and no history of coagulation problems or allergy to the aromatherapy agents. Before surgery, demographic and risk factors were collected. Patients with a nausea level of 1 to 3 on a verbal descriptive scale (0-3) received a gauze pad saturated with a randomly chosen aromatherapy agent and were told to inhale deeply 3 times; nausea (0-3) was then measured again in 5 minutes. Prophylactic and postnausea antiemetics were given as ordered by physicians or as requested by the patient. Results: A total of 1151 subjects were screened for inclusion; 303 subjects reporting nausea were enrolled (26.3%), and 301 meeting protocol were analyzed (26.2%). The change in nausea level was significant for the blend (P &lt; 0.001) and ginger (P = 0.002) versus saline but not for alcohol (P &lt; 0.76). The number of antiemetic medications requested after aromatherapy was also significantly reduced with ginger or blend aromatherapy versus saline (P = 0.002 and P &lt; 0.001, respectively). CONCLUSION: The hypothesis that aromatherapy would be effective as a treatment for PON was supported. On the basis of our results, future research further evaluating aromatherapy is warranted. Aromatherapy is promising as an inexpensive, noninvasive treatment for PON that can be administered and controlled by patients as needed. © 2013 International Anesthesia Research Society.","author":[{"dropping-particle":"","family":"Hunt","given":"Ronald","non-dropping-particle":"","parse-names":false,"suffix":""},{"dropping-particle":"","family":"Dienemann","given":"Jacqueline","non-dropping-particle":"","parse-names":false,"suffix":""},{"dropping-particle":"","family":"Norton","given":"H. James","non-dropping-particle":"","parse-names":false,"suffix":""},{"dropping-particle":"","family":"Hartley","given":"Wendy","non-dropping-particle":"","parse-names":false,"suffix":""},{"dropping-particle":"","family":"Hudgens","given":"Amanda","non-dropping-particle":"","parse-names":false,"suffix":""},{"dropping-particle":"","family":"Stern","given":"Thomas","non-dropping-particle":"","parse-names":false,"suffix":""},{"dropping-particle":"","family":"Divine","given":"George","non-dropping-particle":"","parse-names":false,"suffix":""}],"container-title":"Anesthesia and Analgesia","id":"ITEM-1","issue":"3","issued":{"date-parts":[["2013"]]},"page":"597-604","title":"Aromatherapy as treatment for postoperative nausea: A randomized trial","type":"article-journal","volume":"117"},"uris":["http://www.mendeley.com/documents/?uuid=948eb9ca-a30b-480e-8e11-88bf8ca29aa1"]}],"mendeley":{"formattedCitation":"(5)","plainTextFormattedCitation":"(5)","previouslyFormattedCitation":"(5)"},"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(5)</w:t>
      </w:r>
      <w:r>
        <w:rPr>
          <w:rFonts w:ascii="Arial" w:hAnsi="Arial" w:cs="Arial"/>
          <w:sz w:val="24"/>
          <w:szCs w:val="24"/>
        </w:rPr>
        <w:fldChar w:fldCharType="end"/>
      </w:r>
      <w:r>
        <w:rPr>
          <w:rFonts w:ascii="Arial" w:hAnsi="Arial" w:cs="Arial"/>
          <w:sz w:val="24"/>
          <w:szCs w:val="24"/>
        </w:rPr>
        <w:t xml:space="preserve">. Inhaling mixed essential oils will increase energy levels among pregnant women who have nausea and vomiting, and can minimize the condition. Fatigue among pregnant women experiencing nausea and vomiting. Inhaling two blends of lavender and peppermint oil can minimize the severity of episodes of nausea, increase energy levels and reduce the sensation of fatigue </w:t>
      </w:r>
      <w:r>
        <w:rPr>
          <w:rFonts w:ascii="Arial" w:hAnsi="Arial" w:cs="Arial"/>
          <w:sz w:val="24"/>
          <w:szCs w:val="24"/>
        </w:rPr>
        <w:fldChar w:fldCharType="begin" w:fldLock="1"/>
      </w:r>
      <w:r>
        <w:rPr>
          <w:rFonts w:ascii="Arial" w:hAnsi="Arial" w:cs="Arial"/>
          <w:sz w:val="24"/>
          <w:szCs w:val="24"/>
        </w:rPr>
        <w:instrText xml:space="preserve">ADDIN CSL_CITATION {"citationItems":[{"id":"ITEM-1","itemData":{"abstract":"Nausea and vomiting during pregnancy negatively impacts family relationships and has major consequences on the pregnant woman's working capabilities (Jewell and Young, 2003). Aim: This study aimed to estimate the effect of mixed essential oils inhalation on nausea and vomiting in early pregnancy. Design: Randomized controlled trial. Setting: This study was conducted in Abha maternity teaching hospital-King Khalid University at the outpatient clinics. In addition to three maternal and child health centers. Abha-Kingdom of Saudi Arabia. Sample: Simple random sample of one hundred one pregnant women with single fetus were recruited in the study. The inclusion criteria were women who can read and write, their age between 15-38 years, between 8 and 16 weeks gestational, free from any medical disorders, who had nausea and/or vomiting, required anti-emetics and were not hospitalized. Tools and measurements: The Rhodes index for nausea and vomiting assessment, visual analogue mood scale, the fatigue severity scale, oil burners, and lavender and peppermint oils were the tools have been used in this study. Procedure: Women in the study group were asked to use the predefined essential oils twice a day, prior napping or sleeping. All participants in the study group were asked to record episodes of nausea and number of vomitus within twelve hours starting from inhalation of fragrance daily for three days. Results: Nausea and vomiting episodes were decreased at third day essential oils inhalation compared with baseline assessment among pregnant women in the study group. Moreover, women felt energetic after essential oils inhalation. Mood scores ranged between mild to moderate energy. Finally, although there was a significant change in fatigue score at third day's treatment, the fatigue scores still high. Conclusion: Inhalation of mixed two perfumes of lavender and peppermint oils may minimize the severity of nausea episodes, enhance energy level and decrease fatigability sensation.","author":[{"dropping-particle":"","family":"Mahmoud","given":"Rania","non-dropping-particle":"","parse-names":false,"suffix":""},{"dropping-particle":"","family":"Ghani","given":"Abdel","non-dropping-particle":"","parse-names":false,"suffix":""},{"dropping-particle":"","family":"Tawfik","given":"Adlia","non-dropping-particle":"","parse-names":false,"suffix":""},{"dropping-particle":"","family":"Ibrahim","given":"Ahmed","non-dropping-particle":"","parse-names":false,"suffix":""}],"id":"ITEM-1","issue":"6","issued":{"date-parts":[["2013"]]},"page":"10-22","title":"The Effect of Aromatherapy Inhalation on Nausea and Vomiting in Early Pregnancy : A Pilot Randomized Controlled Trial","type":"article-journal","volume":"3"},"uris":["http://www.mendeley.com/documents/?uuid=0a3854c2-3292-4177-8508-810994eb5851"]}],"mendeley":{"formattedCitation":"(6)","plainTextFormattedCitation":"(6)","previouslyFormattedCitation":"(6)"},"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(6)</w:t>
      </w:r>
      <w:r>
        <w:rPr>
          <w:rFonts w:ascii="Arial" w:hAnsi="Arial" w:cs="Arial"/>
          <w:sz w:val="24"/>
          <w:szCs w:val="24"/>
        </w:rPr>
        <w:fldChar w:fldCharType="end"/>
      </w:r>
      <w:r>
        <w:rPr>
          <w:rFonts w:ascii="Arial" w:hAnsi="Arial" w:cs="Arial"/>
          <w:sz w:val="24"/>
          <w:szCs w:val="24"/>
        </w:rPr>
        <w:t xml:space="preserve">. Peppermint with the scientific name Mentha piperita L. is an aromatic plant in the Lamiaceae family. Herbal therapists use it as an antispasmodic, carminative, antiemetic, lactation enhancer, sedative, and for the treatment of respiratory and urinary tract infections, morning sickness, dysmenorrhea, diarrhea, and diabetes </w:t>
      </w:r>
      <w:r>
        <w:rPr>
          <w:rFonts w:ascii="Arial" w:hAnsi="Arial" w:cs="Arial"/>
          <w:sz w:val="24"/>
          <w:szCs w:val="24"/>
        </w:rPr>
        <w:fldChar w:fldCharType="begin" w:fldLock="1"/>
      </w:r>
      <w:r>
        <w:rPr>
          <w:rFonts w:ascii="Arial" w:hAnsi="Arial" w:cs="Arial"/>
          <w:sz w:val="24"/>
          <w:szCs w:val="24"/>
        </w:rPr>
        <w:instrText xml:space="preserve">ADDIN CSL_CITATION {"citationItems":[{"id":"ITEM-1","itemData":{"ISSN":"2251676X","PMID":"29850445","abstract":"Background: Nausea and vomiting are common complaints in the first half of pregnancy. These symptoms can significantly affect a person's personal and professional life. Aromatherapy is one of the types of complementary medicine that is used in the treatment of nausea and vomiting. The objective of this study was to determine the effect of aromatherapy with peppermint oil on the severity of nausea and vomiting of pregnancy (NVP). Methods: This was a single-blind clinical trial that was conducted on 56 pregnant women with mild to moderate severity of NVP and 6 to 20 weeks of gestational age. After the determination of gestational age and base severity of NVP in each woman, they were randomly assigned to one of the two groups: peppermint oil (n=28) or placebo (n=28). Inhalation aromatherapy was done for four days and at the end of each day,they responded to the Pregnancy Unique Quantification of Emesis/Nausea questionnaire (PUQE). The data obtained were analyzed with Mann-Whitney test and ANOVA with repeated measures using SPSS software version 22. Also, the level of significance was p&lt;0.05. Results: Although the severity of NVP in each intervention group significantly decreased (p&lt;0.001), the comparison of the severity of NVP during the study period and at the end of it was not statistically significant between the placebo and intervention groups. Conclusion: According to the possibility of neurological mechanisms causing NVP, the effect of aromatherapy with peppermint oil and placebo were the same in this study. This similarity can be due to psychological impacts of intervention on pregnant women.","author":[{"dropping-particle":"","family":"Joulaeerad","given":"Narges","non-dropping-particle":"","parse-names":false,"suffix":""},{"dropping-particle":"","family":"Ozgoli","given":"Giti","non-dropping-particle":"","parse-names":false,"suffix":""},{"dropping-particle":"","family":"Hajimehdipoor","given":"Homa","non-dropping-particle":"","parse-names":false,"suffix":""},{"dropping-particle":"","family":"Ghasemi","given":"Erfan","non-dropping-particle":"","parse-names":false,"suffix":""},{"dropping-particle":"","family":"Salehimoghaddam","given":"Fatemeh","non-dropping-particle":"","parse-names":false,"suffix":""}],"container-title":"Journal of Reproduction and Infertility","id":"ITEM-1","issue":"1","issued":{"date-parts":[["2018"]]},"page":"32-38","title":"Effect of aromatherapy with peppermint oil on the severity of nausea and vomiting in pregnancy: A single-blind, randomized, placebo-controlled trial","type":"article-journal","volume":"19"},"uris":["http://www.mendeley.com/documents/?uuid=c02176be-d81b-48b7-a1e8-a0c16ea2e667"]}],"mendeley":{"formattedCitation":"(7)","plainTextFormattedCitation":"(7)","previouslyFormattedCitation":"(7)"},"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(7)</w:t>
      </w:r>
      <w:r>
        <w:rPr>
          <w:rFonts w:ascii="Arial" w:hAnsi="Arial" w:cs="Arial"/>
          <w:sz w:val="24"/>
          <w:szCs w:val="24"/>
        </w:rPr>
        <w:fldChar w:fldCharType="end"/>
      </w:r>
      <w:r>
        <w:rPr>
          <w:rFonts w:ascii="Arial" w:hAnsi="Arial" w:cs="Arial"/>
          <w:sz w:val="24"/>
          <w:szCs w:val="24"/>
        </w:rPr>
        <w:t>.</w:t>
      </w:r>
    </w:p>
    <w:p>
      <w:pPr>
        <w:spacing w:before="0" w:beforeAutospacing="0" w:after="0" w:line="240" w:lineRule="auto"/>
        <w:ind w:firstLine="720"/>
        <w:jc w:val="both"/>
        <w:rPr>
          <w:rFonts w:ascii="Arial" w:hAnsi="Arial" w:cs="Arial"/>
          <w:sz w:val="24"/>
          <w:szCs w:val="24"/>
        </w:rPr>
      </w:pPr>
      <w:r>
        <w:rPr>
          <w:rFonts w:ascii="Arial" w:hAnsi="Arial" w:cs="Arial"/>
          <w:sz w:val="24"/>
          <w:szCs w:val="24"/>
        </w:rPr>
        <w:t xml:space="preserve">Peppermint oil in the British Herbal Pharmacopoeia mentions its benefits as a treatment for morning sickness. Aromatherapy is used to relieve pain, depression, insomnia and fatigue, using oils present in various parts of the plant such as Lavandula angustifolia </w:t>
      </w:r>
      <w:r>
        <w:rPr>
          <w:rFonts w:ascii="Arial" w:hAnsi="Arial" w:cs="Arial"/>
          <w:sz w:val="24"/>
          <w:szCs w:val="24"/>
        </w:rPr>
        <w:fldChar w:fldCharType="begin" w:fldLock="1"/>
      </w:r>
      <w:r>
        <w:rPr>
          <w:rFonts w:ascii="Arial" w:hAnsi="Arial" w:cs="Arial"/>
          <w:sz w:val="24"/>
          <w:szCs w:val="24"/>
        </w:rPr>
        <w:instrText xml:space="preserve">ADDIN CSL_CITATION {"citationItems":[{"id":"ITEM-1","itemData":{"ISSN":"2251676X","PMID":"29850445","abstract":"Background: Nausea and vomiting are common complaints in the first half of pregnancy. These symptoms can significantly affect a person's personal and professional life. Aromatherapy is one of the types of complementary medicine that is used in the treatment of nausea and vomiting. The objective of this study was to determine the effect of aromatherapy with peppermint oil on the severity of nausea and vomiting of pregnancy (NVP). Methods: This was a single-blind clinical trial that was conducted on 56 pregnant women with mild to moderate severity of NVP and 6 to 20 weeks of gestational age. After the determination of gestational age and base severity of NVP in each woman, they were randomly assigned to one of the two groups: peppermint oil (n=28) or placebo (n=28). Inhalation aromatherapy was done for four days and at the end of each day,they responded to the Pregnancy Unique Quantification of Emesis/Nausea questionnaire (PUQE). The data obtained were analyzed with Mann-Whitney test and ANOVA with repeated measures using SPSS software version 22. Also, the level of significance was p&lt;0.05. Results: Although the severity of NVP in each intervention group significantly decreased (p&lt;0.001), the comparison of the severity of NVP during the study period and at the end of it was not statistically significant between the placebo and intervention groups. Conclusion: According to the possibility of neurological mechanisms causing NVP, the effect of aromatherapy with peppermint oil and placebo were the same in this study. This similarity can be due to psychological impacts of intervention on pregnant women.","author":[{"dropping-particle":"","family":"Joulaeerad","given":"Narges","non-dropping-particle":"","parse-names":false,"suffix":""},{"dropping-particle":"","family":"Ozgoli","given":"Giti","non-dropping-particle":"","parse-names":false,"suffix":""},{"dropping-particle":"","family":"Hajimehdipoor","given":"Homa","non-dropping-particle":"","parse-names":false,"suffix":""},{"dropping-particle":"","family":"Ghasemi","given":"Erfan","non-dropping-particle":"","parse-names":false,"suffix":""},{"dropping-particle":"","family":"Salehimoghaddam","given":"Fatemeh","non-dropping-particle":"","parse-names":false,"suffix":""}],"container-title":"Journal of Reproduction and Infertility","id":"ITEM-1","issue":"1","issued":{"date-parts":[["2018"]]},"page":"32-38","title":"Effect of aromatherapy with peppermint oil on the severity of nausea and vomiting in pregnancy: A single-blind, randomized, placebo-controlled trial","type":"article-journal","volume":"19"},"uris":["http://www.mendeley.com/documents/?uuid=c02176be-d81b-48b7-a1e8-a0c16ea2e667"]}],"mendeley":{"formattedCitation":"(7)","plainTextFormattedCitation":"(7)","previouslyFormattedCitation":"(7)"},"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(7)</w:t>
      </w:r>
      <w:r>
        <w:rPr>
          <w:rFonts w:ascii="Arial" w:hAnsi="Arial" w:cs="Arial"/>
          <w:sz w:val="24"/>
          <w:szCs w:val="24"/>
        </w:rPr>
        <w:fldChar w:fldCharType="end"/>
      </w:r>
      <w:r>
        <w:rPr>
          <w:rFonts w:ascii="Arial" w:hAnsi="Arial" w:cs="Arial"/>
          <w:sz w:val="24"/>
          <w:szCs w:val="24"/>
        </w:rPr>
        <w:t xml:space="preserve">. Lavender with the scientific name Lavandula is a plant from the Lamiaceae family, native to the western Mediterranean region. Lipophilic monoterpene compounds against cell membranes, and cause changes in the activity of ion channels, carriers and nerve receptors. These properties may explain the calming effect of Lavender oil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{"citationItems":[{"id":"ITEM-1","itemData":{"DOI":"10.5812/aapm.9570","ISSN":"22287531","abstract":"Background: Pain is a major problem in patients after cesarean and medication such as aromatherapy which is a complementary therapy, in which the essences of the plants oils are used to reduce such undesirable conditions. Objectives: In this study, the effect of aromatherapy using Lavender (Lavandula) essential oil on cesarean postoperative pain was assessed. Materials and Methods: In a triple blind, randomized placebo-controlled trial study, 60 pregnant women who were admitted to a general hospital for cesarean section, were divided randomly into two groups. After cesarean, the Lavender group inhaled about 3 drops of 10% Lavender oil essence and the placebo group inhaled 3 drops of placebo after the start of postoperative pain, four, eight and 12 hours later, for 5 minutes from the 10 cm distance. Patient\\'s pain was measured by the VAS (Visual Analog Scale) score before and after each intervention, and vital sign, complications and level of satisfaction of every patient were recorded before and after aromatherapy. Results: There was no statistically significant difference between groups in age, height, weight, and time to the first analgesic requirement. Patients in the Lavender group had less postoperative pain in four (P = 0.008), eight (P = 0.024) and 12 (P = 0.011) hours after first medication than the placebo group. The decreased heart rate and patients\\' level of satisfaction with analgesia were significantly higher in the Lavender group (P = 0.001). In the placebo group, the use of diclofenac suppositories for complete analgesia was also significantly higher than the Lavender group (P = 0.008). Conclusions: The inhaled Lavender essence may be used as a part of the multidisciplinary treatment of pain after cesarean section, but it is not recommended as the sole pain management. © 2013 Iranian Society of Regional Anesthesia and Pain Medicine.","author":[{"dropping-particle":"","family":"Olapour","given":"Alireza","non-dropping-particle":"","parse-names":false,"suffix":""},{"dropping-particle":"","family":"Behaeen","given":"Kaveh","non-dropping-particle":"","parse-names":false,"suffix":""},{"dropping-particle":"","family":"Akhondzadeh","given":"Reza","non-dropping-particle":"","parse-names":false,"suffix":""},{"dropping-particle":"","family":"Soltani","given":"Farhad","non-dropping-particle":"","parse-names":false,"suffix":""},{"dropping-particle":"","family":"Razavi","given":"Forough Al Sadat","non-dropping-particle":"","parse-names":false,"suffix":""},{"dropping-particle":"","family":"Bekhradi","given":"Reza","non-dropping-particle":"","parse-names":false,"suffix":""}],"container-title":"Anesthesiology and Pain Medicine","id":"ITEM-1","issue":"1","issued":{"date-parts":[["2013"]]},"page":"203-207","title":"The effect of inhalation of aromatherapy blend containing lavender essential oil on cesarean postoperative pain","type":"article-journal","volume":"3"},"uris":["http://www.mendeley.com/documents/?uuid=f1bbc583-1b0e-42b6-9acc-fdc5a57602c9"]}],"mendeley":{"formattedCitation":"(8)","plainTextFormattedCitation":"(8)","previouslyFormattedCitation":"(8)"},"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(8)</w:t>
      </w:r>
      <w:r>
        <w:rPr>
          <w:rFonts w:ascii="Arial" w:hAnsi="Arial" w:cs="Arial"/>
          <w:sz w:val="24"/>
          <w:szCs w:val="24"/>
        </w:rPr>
        <w:fldChar w:fldCharType="end"/>
      </w:r>
      <w:r>
        <w:rPr>
          <w:rFonts w:ascii="Arial" w:hAnsi="Arial" w:cs="Arial"/>
          <w:sz w:val="24"/>
          <w:szCs w:val="24"/>
        </w:rPr>
        <w:t>.</w:t>
      </w:r>
    </w:p>
    <w:p>
      <w:pPr>
        <w:spacing w:before="0" w:beforeAutospacing="0" w:after="0" w:line="240" w:lineRule="auto"/>
        <w:ind w:firstLine="720"/>
        <w:jc w:val="both"/>
        <w:rPr>
          <w:rFonts w:ascii="Arial" w:hAnsi="Arial" w:cs="Arial"/>
          <w:sz w:val="24"/>
          <w:szCs w:val="24"/>
        </w:rPr>
      </w:pPr>
      <w:r>
        <w:rPr>
          <w:rFonts w:ascii="Times New Roman" w:hAnsi="Times New Roman"/>
          <w:sz w:val="24"/>
          <w:szCs w:val="24"/>
        </w:rPr>
        <w:t>N. Joulaeerad</w:t>
      </w:r>
      <w:r>
        <w:rPr>
          <w:rFonts w:ascii="Arial" w:hAnsi="Arial" w:cs="Arial"/>
          <w:sz w:val="24"/>
          <w:szCs w:val="24"/>
        </w:rPr>
        <w:t>, et al., (2017) examined a mixture of peppermint and lavender oil in pregnant women, in this study the method used to manufacture aromatherapy preparations in this study was different. Aromatherapy liniment oil preparations prior to the study on first trimester pregnant women, were carried out on healthy and nonpregnant women for hedonic and irritation tests. Panelists were given inhalations in the form of aromatherapy liniment oil and a hedonic test questionnaire about the level of preference. The formulation is sure to pass the physical stability, hedonic and product safety tests.</w:t>
      </w:r>
    </w:p>
    <w:p>
      <w:pPr>
        <w:spacing w:after="0" w:line="240" w:lineRule="auto"/>
        <w:rPr>
          <w:rFonts w:ascii="Arial" w:hAnsi="Arial" w:cs="Arial"/>
          <w:b/>
          <w:sz w:val="24"/>
          <w:szCs w:val="24"/>
        </w:rPr>
      </w:pPr>
      <w:r>
        <w:rPr>
          <w:rFonts w:ascii="Arial" w:hAnsi="Arial" w:cs="Arial"/>
          <w:b/>
          <w:sz w:val="24"/>
          <w:szCs w:val="24"/>
        </w:rPr>
        <w:t>MATERIANS AND METHODS</w:t>
      </w:r>
    </w:p>
    <w:p>
      <w:pPr>
        <w:spacing w:before="0" w:beforeAutospacing="0" w:after="0" w:line="240" w:lineRule="auto"/>
        <w:ind w:firstLine="720"/>
        <w:jc w:val="both"/>
        <w:rPr>
          <w:rFonts w:ascii="Arial" w:hAnsi="Arial" w:cs="Arial"/>
          <w:sz w:val="24"/>
          <w:szCs w:val="24"/>
        </w:rPr>
      </w:pPr>
      <w:r>
        <w:rPr>
          <w:rFonts w:ascii="Arial" w:hAnsi="Arial" w:cs="Arial"/>
          <w:sz w:val="24"/>
          <w:szCs w:val="24"/>
        </w:rPr>
        <w:t xml:space="preserve">This study used a glass tool (pyrex), mortar and stamper, glass bottles with caps, roll on glass bottles. The materials used in this study were Peppermint oil, Lavender oil, Patchouli oil, and VCO (virgin coconut oil), universal pH, hedonic test questionnaire, anti-nausea and vomiting effectiveness test and irritation test. </w:t>
      </w:r>
    </w:p>
    <w:p>
      <w:pPr>
        <w:pStyle w:val="4"/>
        <w:spacing w:line="240" w:lineRule="auto"/>
        <w:jc w:val="center"/>
        <w:rPr>
          <w:sz w:val="24"/>
          <w:szCs w:val="24"/>
        </w:rPr>
      </w:pPr>
      <w:r>
        <w:rPr>
          <w:sz w:val="24"/>
          <w:szCs w:val="24"/>
        </w:rPr>
        <w:t>Table 1.  Combination Formula Peppermint Oil, Lavender and VCO Oil for Aromatherapy, Nausea and Vomiting</w:t>
      </w:r>
    </w:p>
    <w:tbl>
      <w:tblPr>
        <w:tblStyle w:val="8"/>
        <w:tblW w:w="8348" w:type="dxa"/>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77"/>
        <w:gridCol w:w="1527"/>
        <w:gridCol w:w="1691"/>
        <w:gridCol w:w="1653"/>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477" w:type="dxa"/>
            <w:vMerge w:val="restart"/>
            <w:tcBorders>
              <w:top w:val="single" w:color="auto" w:sz="4" w:space="0"/>
              <w:left w:val="nil"/>
              <w:bottom w:val="single" w:color="auto" w:sz="4" w:space="0"/>
              <w:right w:val="nil"/>
            </w:tcBorders>
            <w:vAlign w:val="center"/>
          </w:tcPr>
          <w:p>
            <w:pPr>
              <w:widowControl w:val="0"/>
              <w:autoSpaceDE w:val="0"/>
              <w:spacing w:after="0" w:line="240" w:lineRule="auto"/>
              <w:jc w:val="center"/>
              <w:rPr>
                <w:rFonts w:ascii="Arial" w:hAnsi="Arial" w:cs="Arial"/>
                <w:b/>
                <w:bCs/>
                <w:sz w:val="24"/>
                <w:szCs w:val="24"/>
              </w:rPr>
            </w:pPr>
            <w:r>
              <w:rPr>
                <w:rFonts w:ascii="Arial" w:hAnsi="Arial" w:cs="Arial"/>
                <w:b/>
                <w:bCs/>
                <w:sz w:val="24"/>
                <w:szCs w:val="24"/>
              </w:rPr>
              <w:t>Pepperlav Liniment Oil (ml)</w:t>
            </w:r>
          </w:p>
        </w:tc>
        <w:tc>
          <w:tcPr>
            <w:tcW w:w="4871" w:type="dxa"/>
            <w:gridSpan w:val="3"/>
            <w:tcBorders>
              <w:top w:val="single" w:color="auto" w:sz="4" w:space="0"/>
              <w:left w:val="nil"/>
              <w:bottom w:val="single" w:color="auto" w:sz="4" w:space="0"/>
              <w:right w:val="nil"/>
            </w:tcBorders>
          </w:tcPr>
          <w:p>
            <w:pPr>
              <w:widowControl w:val="0"/>
              <w:autoSpaceDE w:val="0"/>
              <w:spacing w:after="0" w:line="240" w:lineRule="auto"/>
              <w:jc w:val="center"/>
              <w:rPr>
                <w:rFonts w:ascii="Arial" w:hAnsi="Arial" w:cs="Arial"/>
                <w:b/>
                <w:bCs/>
                <w:sz w:val="24"/>
                <w:szCs w:val="24"/>
              </w:rPr>
            </w:pPr>
            <w:r>
              <w:rPr>
                <w:rFonts w:ascii="Arial" w:hAnsi="Arial" w:cs="Arial"/>
                <w:b/>
                <w:bCs/>
                <w:sz w:val="24"/>
                <w:szCs w:val="24"/>
              </w:rPr>
              <w:t>Formula Aromatherapy PepperLav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348" w:type="dxa"/>
            <w:vMerge w:val="continue"/>
            <w:tcBorders>
              <w:top w:val="single" w:color="auto" w:sz="4" w:space="0"/>
              <w:left w:val="nil"/>
              <w:bottom w:val="single" w:color="auto" w:sz="4" w:space="0"/>
              <w:right w:val="nil"/>
            </w:tcBorders>
            <w:vAlign w:val="center"/>
          </w:tcPr>
          <w:p>
            <w:pPr>
              <w:widowControl w:val="0"/>
              <w:spacing w:before="0" w:beforeAutospacing="0" w:after="0" w:line="240" w:lineRule="auto"/>
              <w:jc w:val="both"/>
              <w:rPr>
                <w:rFonts w:ascii="Arial" w:hAnsi="Arial" w:cs="Arial"/>
                <w:b/>
                <w:bCs/>
                <w:sz w:val="24"/>
                <w:szCs w:val="24"/>
              </w:rPr>
            </w:pPr>
          </w:p>
        </w:tc>
        <w:tc>
          <w:tcPr>
            <w:tcW w:w="1527" w:type="dxa"/>
            <w:tcBorders>
              <w:top w:val="single" w:color="auto" w:sz="4" w:space="0"/>
              <w:left w:val="nil"/>
              <w:bottom w:val="single" w:color="auto" w:sz="4" w:space="0"/>
              <w:right w:val="nil"/>
            </w:tcBorders>
          </w:tcPr>
          <w:p>
            <w:pPr>
              <w:widowControl w:val="0"/>
              <w:autoSpaceDE w:val="0"/>
              <w:spacing w:after="0" w:line="240" w:lineRule="auto"/>
              <w:jc w:val="center"/>
              <w:rPr>
                <w:rFonts w:ascii="Arial" w:hAnsi="Arial" w:cs="Arial"/>
                <w:b/>
                <w:bCs/>
                <w:sz w:val="24"/>
                <w:szCs w:val="24"/>
              </w:rPr>
            </w:pPr>
            <w:r>
              <w:rPr>
                <w:rFonts w:ascii="Arial" w:hAnsi="Arial" w:cs="Arial"/>
                <w:b/>
                <w:bCs/>
                <w:sz w:val="24"/>
                <w:szCs w:val="24"/>
              </w:rPr>
              <w:t>Formula 1</w:t>
            </w:r>
          </w:p>
        </w:tc>
        <w:tc>
          <w:tcPr>
            <w:tcW w:w="1691" w:type="dxa"/>
            <w:tcBorders>
              <w:top w:val="single" w:color="auto" w:sz="4" w:space="0"/>
              <w:left w:val="nil"/>
              <w:bottom w:val="single" w:color="auto" w:sz="4" w:space="0"/>
              <w:right w:val="nil"/>
            </w:tcBorders>
          </w:tcPr>
          <w:p>
            <w:pPr>
              <w:widowControl w:val="0"/>
              <w:autoSpaceDE w:val="0"/>
              <w:spacing w:after="0" w:line="240" w:lineRule="auto"/>
              <w:jc w:val="center"/>
              <w:rPr>
                <w:rFonts w:ascii="Arial" w:hAnsi="Arial" w:cs="Arial"/>
                <w:b/>
                <w:bCs/>
                <w:sz w:val="24"/>
                <w:szCs w:val="24"/>
              </w:rPr>
            </w:pPr>
            <w:r>
              <w:rPr>
                <w:rFonts w:ascii="Arial" w:hAnsi="Arial" w:cs="Arial"/>
                <w:b/>
                <w:bCs/>
                <w:sz w:val="24"/>
                <w:szCs w:val="24"/>
              </w:rPr>
              <w:t>Formula 2</w:t>
            </w:r>
          </w:p>
        </w:tc>
        <w:tc>
          <w:tcPr>
            <w:tcW w:w="1653" w:type="dxa"/>
            <w:tcBorders>
              <w:top w:val="single" w:color="auto" w:sz="4" w:space="0"/>
              <w:left w:val="nil"/>
              <w:bottom w:val="single" w:color="auto" w:sz="4" w:space="0"/>
              <w:right w:val="nil"/>
            </w:tcBorders>
          </w:tcPr>
          <w:p>
            <w:pPr>
              <w:widowControl w:val="0"/>
              <w:autoSpaceDE w:val="0"/>
              <w:spacing w:after="0" w:line="240" w:lineRule="auto"/>
              <w:jc w:val="center"/>
              <w:rPr>
                <w:rFonts w:ascii="Arial" w:hAnsi="Arial" w:cs="Arial"/>
                <w:b/>
                <w:bCs/>
                <w:sz w:val="24"/>
                <w:szCs w:val="24"/>
              </w:rPr>
            </w:pPr>
            <w:r>
              <w:rPr>
                <w:rFonts w:ascii="Arial" w:hAnsi="Arial" w:cs="Arial"/>
                <w:b/>
                <w:bCs/>
                <w:sz w:val="24"/>
                <w:szCs w:val="24"/>
              </w:rPr>
              <w:t>Formula 3</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477" w:type="dxa"/>
            <w:tcBorders>
              <w:top w:val="single" w:color="auto" w:sz="4" w:space="0"/>
              <w:left w:val="nil"/>
              <w:bottom w:val="nil"/>
              <w:right w:val="nil"/>
            </w:tcBorders>
          </w:tcPr>
          <w:p>
            <w:pPr>
              <w:widowControl w:val="0"/>
              <w:autoSpaceDE w:val="0"/>
              <w:spacing w:after="0" w:line="240" w:lineRule="auto"/>
              <w:jc w:val="both"/>
              <w:rPr>
                <w:rFonts w:ascii="Arial" w:hAnsi="Arial" w:cs="Arial"/>
                <w:sz w:val="24"/>
                <w:szCs w:val="24"/>
              </w:rPr>
            </w:pPr>
            <w:r>
              <w:rPr>
                <w:rFonts w:ascii="Arial" w:hAnsi="Arial" w:cs="Arial"/>
                <w:sz w:val="24"/>
                <w:szCs w:val="24"/>
              </w:rPr>
              <w:t>Peppermint Oil (Top Notes)</w:t>
            </w:r>
          </w:p>
        </w:tc>
        <w:tc>
          <w:tcPr>
            <w:tcW w:w="1527" w:type="dxa"/>
            <w:tcBorders>
              <w:top w:val="single" w:color="auto" w:sz="4" w:space="0"/>
              <w:left w:val="nil"/>
              <w:bottom w:val="nil"/>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40</w:t>
            </w:r>
          </w:p>
        </w:tc>
        <w:tc>
          <w:tcPr>
            <w:tcW w:w="1691" w:type="dxa"/>
            <w:tcBorders>
              <w:top w:val="single" w:color="auto" w:sz="4" w:space="0"/>
              <w:left w:val="nil"/>
              <w:bottom w:val="nil"/>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30</w:t>
            </w:r>
          </w:p>
        </w:tc>
        <w:tc>
          <w:tcPr>
            <w:tcW w:w="1653" w:type="dxa"/>
            <w:tcBorders>
              <w:top w:val="single" w:color="auto" w:sz="4" w:space="0"/>
              <w:left w:val="nil"/>
              <w:bottom w:val="nil"/>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20</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477" w:type="dxa"/>
            <w:tcBorders>
              <w:top w:val="nil"/>
              <w:left w:val="nil"/>
              <w:bottom w:val="nil"/>
              <w:right w:val="nil"/>
            </w:tcBorders>
          </w:tcPr>
          <w:p>
            <w:pPr>
              <w:widowControl w:val="0"/>
              <w:autoSpaceDE w:val="0"/>
              <w:spacing w:after="0" w:line="240" w:lineRule="auto"/>
              <w:jc w:val="both"/>
              <w:rPr>
                <w:rFonts w:ascii="Arial" w:hAnsi="Arial" w:cs="Arial"/>
                <w:sz w:val="24"/>
                <w:szCs w:val="24"/>
              </w:rPr>
            </w:pPr>
            <w:r>
              <w:rPr>
                <w:rFonts w:ascii="Arial" w:hAnsi="Arial" w:cs="Arial"/>
                <w:sz w:val="24"/>
                <w:szCs w:val="24"/>
              </w:rPr>
              <w:t>Lavender Oil (Middle Notes)</w:t>
            </w:r>
          </w:p>
        </w:tc>
        <w:tc>
          <w:tcPr>
            <w:tcW w:w="1527" w:type="dxa"/>
            <w:tcBorders>
              <w:top w:val="nil"/>
              <w:left w:val="nil"/>
              <w:bottom w:val="nil"/>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50</w:t>
            </w:r>
          </w:p>
        </w:tc>
        <w:tc>
          <w:tcPr>
            <w:tcW w:w="1691" w:type="dxa"/>
            <w:tcBorders>
              <w:top w:val="nil"/>
              <w:left w:val="nil"/>
              <w:bottom w:val="nil"/>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60</w:t>
            </w:r>
          </w:p>
        </w:tc>
        <w:tc>
          <w:tcPr>
            <w:tcW w:w="1653" w:type="dxa"/>
            <w:tcBorders>
              <w:top w:val="nil"/>
              <w:left w:val="nil"/>
              <w:bottom w:val="nil"/>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70</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477" w:type="dxa"/>
            <w:tcBorders>
              <w:top w:val="nil"/>
              <w:left w:val="nil"/>
              <w:bottom w:val="nil"/>
              <w:right w:val="nil"/>
            </w:tcBorders>
          </w:tcPr>
          <w:p>
            <w:pPr>
              <w:widowControl w:val="0"/>
              <w:autoSpaceDE w:val="0"/>
              <w:spacing w:after="0" w:line="240" w:lineRule="auto"/>
              <w:jc w:val="both"/>
              <w:rPr>
                <w:rFonts w:ascii="Arial" w:hAnsi="Arial" w:cs="Arial"/>
                <w:sz w:val="24"/>
                <w:szCs w:val="24"/>
              </w:rPr>
            </w:pPr>
            <w:r>
              <w:rPr>
                <w:rFonts w:ascii="Arial" w:hAnsi="Arial" w:cs="Arial"/>
                <w:sz w:val="24"/>
                <w:szCs w:val="24"/>
              </w:rPr>
              <w:t>VCO Oil (Base Notes)</w:t>
            </w:r>
          </w:p>
        </w:tc>
        <w:tc>
          <w:tcPr>
            <w:tcW w:w="1527" w:type="dxa"/>
            <w:tcBorders>
              <w:top w:val="nil"/>
              <w:left w:val="nil"/>
              <w:bottom w:val="nil"/>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10</w:t>
            </w:r>
          </w:p>
        </w:tc>
        <w:tc>
          <w:tcPr>
            <w:tcW w:w="1691" w:type="dxa"/>
            <w:tcBorders>
              <w:top w:val="nil"/>
              <w:left w:val="nil"/>
              <w:bottom w:val="nil"/>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10</w:t>
            </w:r>
          </w:p>
        </w:tc>
        <w:tc>
          <w:tcPr>
            <w:tcW w:w="1653" w:type="dxa"/>
            <w:tcBorders>
              <w:top w:val="nil"/>
              <w:left w:val="nil"/>
              <w:bottom w:val="nil"/>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10</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477" w:type="dxa"/>
            <w:tcBorders>
              <w:top w:val="nil"/>
              <w:left w:val="nil"/>
              <w:bottom w:val="nil"/>
              <w:right w:val="nil"/>
            </w:tcBorders>
          </w:tcPr>
          <w:p>
            <w:pPr>
              <w:widowControl w:val="0"/>
              <w:autoSpaceDE w:val="0"/>
              <w:spacing w:after="0" w:line="240" w:lineRule="auto"/>
              <w:jc w:val="both"/>
              <w:rPr>
                <w:rFonts w:ascii="Arial" w:hAnsi="Arial" w:cs="Arial"/>
                <w:sz w:val="24"/>
                <w:szCs w:val="24"/>
              </w:rPr>
            </w:pPr>
            <w:r>
              <w:rPr>
                <w:rFonts w:ascii="Arial" w:hAnsi="Arial" w:cs="Arial"/>
                <w:sz w:val="24"/>
                <w:szCs w:val="24"/>
              </w:rPr>
              <w:t>Total Volume Liniment (ml)</w:t>
            </w:r>
          </w:p>
        </w:tc>
        <w:tc>
          <w:tcPr>
            <w:tcW w:w="1527" w:type="dxa"/>
            <w:tcBorders>
              <w:top w:val="nil"/>
              <w:left w:val="nil"/>
              <w:bottom w:val="single" w:color="auto" w:sz="4" w:space="0"/>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10 ml</w:t>
            </w:r>
          </w:p>
        </w:tc>
        <w:tc>
          <w:tcPr>
            <w:tcW w:w="1691" w:type="dxa"/>
            <w:tcBorders>
              <w:top w:val="nil"/>
              <w:left w:val="nil"/>
              <w:bottom w:val="single" w:color="auto" w:sz="4" w:space="0"/>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10 ml</w:t>
            </w:r>
          </w:p>
        </w:tc>
        <w:tc>
          <w:tcPr>
            <w:tcW w:w="1653" w:type="dxa"/>
            <w:tcBorders>
              <w:top w:val="nil"/>
              <w:left w:val="nil"/>
              <w:bottom w:val="single" w:color="auto" w:sz="4" w:space="0"/>
              <w:right w:val="nil"/>
            </w:tcBorders>
          </w:tcPr>
          <w:p>
            <w:pPr>
              <w:widowControl w:val="0"/>
              <w:autoSpaceDE w:val="0"/>
              <w:spacing w:after="0" w:line="240" w:lineRule="auto"/>
              <w:jc w:val="center"/>
              <w:rPr>
                <w:rFonts w:ascii="Arial" w:hAnsi="Arial" w:cs="Arial"/>
                <w:sz w:val="24"/>
                <w:szCs w:val="24"/>
              </w:rPr>
            </w:pPr>
            <w:r>
              <w:rPr>
                <w:rFonts w:ascii="Arial" w:hAnsi="Arial" w:cs="Arial"/>
                <w:sz w:val="24"/>
                <w:szCs w:val="24"/>
              </w:rPr>
              <w:t>10 ml</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348" w:type="dxa"/>
            <w:gridSpan w:val="4"/>
            <w:tcBorders>
              <w:top w:val="single" w:color="auto" w:sz="4" w:space="0"/>
              <w:left w:val="nil"/>
              <w:bottom w:val="nil"/>
              <w:right w:val="nil"/>
            </w:tcBorders>
          </w:tcPr>
          <w:p>
            <w:pPr>
              <w:widowControl w:val="0"/>
              <w:autoSpaceDE w:val="0"/>
              <w:spacing w:after="0" w:line="240" w:lineRule="auto"/>
              <w:jc w:val="both"/>
              <w:rPr>
                <w:rFonts w:ascii="Arial" w:hAnsi="Arial" w:cs="Arial"/>
                <w:sz w:val="24"/>
                <w:szCs w:val="24"/>
              </w:rPr>
            </w:pPr>
            <w:r>
              <w:rPr>
                <w:rFonts w:ascii="Arial" w:hAnsi="Arial" w:cs="Arial"/>
                <w:sz w:val="24"/>
                <w:szCs w:val="24"/>
              </w:rPr>
              <w:t>Information: Formula 1 = Combination formula for top notes 40%, middle notes 50%, and base notes 10% Formula 2 = Combination formula for top notes 30%, middle notes 60%, and base notes 10% Formula 3 = Combination formula for top notes 20%, middle notes 70%, and base notes 10%</w:t>
            </w:r>
          </w:p>
        </w:tc>
      </w:tr>
    </w:tbl>
    <w:p>
      <w:pPr>
        <w:spacing w:before="0" w:beforeAutospacing="0" w:after="0" w:line="240" w:lineRule="auto"/>
        <w:ind w:firstLine="720"/>
        <w:jc w:val="both"/>
        <w:rPr>
          <w:rFonts w:ascii="Arial" w:hAnsi="Arial" w:cs="Arial"/>
          <w:sz w:val="24"/>
          <w:szCs w:val="24"/>
        </w:rPr>
      </w:pPr>
    </w:p>
    <w:p>
      <w:pPr>
        <w:spacing w:before="0" w:beforeAutospacing="0" w:after="0" w:line="240" w:lineRule="auto"/>
        <w:ind w:firstLine="720"/>
        <w:jc w:val="both"/>
        <w:rPr>
          <w:rFonts w:ascii="Arial" w:hAnsi="Arial" w:cs="Arial"/>
          <w:sz w:val="24"/>
          <w:szCs w:val="24"/>
        </w:rPr>
      </w:pPr>
    </w:p>
    <w:p>
      <w:pPr>
        <w:spacing w:before="0" w:beforeAutospacing="0" w:after="0" w:line="240" w:lineRule="auto"/>
        <w:ind w:firstLine="720"/>
        <w:jc w:val="both"/>
        <w:rPr>
          <w:rFonts w:ascii="Arial" w:hAnsi="Arial" w:cs="Arial"/>
          <w:sz w:val="24"/>
          <w:szCs w:val="24"/>
        </w:rPr>
      </w:pPr>
      <w:r>
        <w:rPr>
          <w:rFonts w:ascii="Arial" w:hAnsi="Arial" w:cs="Arial"/>
          <w:sz w:val="24"/>
          <w:szCs w:val="24"/>
        </w:rPr>
        <w:t>The preparation and physical stability test of the combination peppermint and lavender liniment oil preparation was carried out at the Pharmacy &amp; Phytochemical Technology Laboratory of the University of Alma Ata. The hedonic test, the irritation test for the combination dosage of peppermint and lavender liniment oil, and the effectiveness of pepperlav aromatherapy against nausea and vomiting in TM I pregnant women were carried out by the Midwives Practice (PMB) Bantul Yogyakarta Region. Hedonic and irritation tests were performed on women who were not pregnant. Respondents in this study were taken randomly as many as 40 pregnant women were divided into 4 groups, 3 groups for the intervention giving Formula 1, Formula 2 and Formula 3 and 1 group was not given therapy as a comparison. Respondents were given questionnaires and conducted interviews based on the RINVR questionnaire to measure nausea and vomiting before and after the intervention. There are 5 categories of nausea, namely 0 (normal), 1-8 (mild nausea), 9-16 (moderate vomiting nausea), 17-24 (severe vomiting nausea) and 25-32 (very severe nausea and vomiting). Data analysis using SPSS with Paired t Test analysis test.</w:t>
      </w:r>
    </w:p>
    <w:p>
      <w:pPr>
        <w:spacing w:line="240" w:lineRule="auto"/>
        <w:jc w:val="both"/>
        <w:rPr>
          <w:rFonts w:ascii="Arial" w:hAnsi="Arial" w:cs="Arial"/>
          <w:b/>
          <w:bCs/>
          <w:sz w:val="24"/>
          <w:szCs w:val="24"/>
        </w:rPr>
      </w:pPr>
      <w:r>
        <w:rPr>
          <w:rFonts w:ascii="Arial" w:hAnsi="Arial" w:cs="Arial"/>
          <w:b/>
          <w:bCs/>
          <w:sz w:val="24"/>
          <w:szCs w:val="24"/>
        </w:rPr>
        <w:t>Ethical approval subject Clearance</w:t>
      </w:r>
    </w:p>
    <w:p>
      <w:pPr>
        <w:autoSpaceDE w:val="0"/>
        <w:spacing w:before="0" w:beforeAutospacing="0" w:after="0" w:line="240" w:lineRule="auto"/>
        <w:ind w:firstLine="720"/>
        <w:jc w:val="both"/>
        <w:rPr>
          <w:rFonts w:ascii="Arial" w:hAnsi="Arial" w:cs="Arial"/>
          <w:sz w:val="24"/>
          <w:szCs w:val="24"/>
        </w:rPr>
      </w:pPr>
      <w:r>
        <w:rPr>
          <w:rFonts w:ascii="Arial" w:hAnsi="Arial" w:cs="Arial"/>
          <w:sz w:val="24"/>
          <w:szCs w:val="24"/>
        </w:rPr>
        <w:t>Research on the effectiveness of inhaled pepperlav aromatherapy against nausea and vomiting using human subjects, namely pregnant women, so it is necessary to submit and ethical approval. The application for ethical approval is made at the Ethics Commission of Alma Ata University with the results of being approved and obtaining ethical approval on September 25, 2020. This ethical approval is valid for one year from the date of approval with Number: KE / AA / IX / 10305a / EC / 2020.</w:t>
      </w:r>
    </w:p>
    <w:p>
      <w:pPr>
        <w:autoSpaceDE w:val="0"/>
        <w:spacing w:before="0" w:beforeAutospacing="0" w:after="0" w:line="240" w:lineRule="auto"/>
        <w:ind w:firstLine="720"/>
        <w:jc w:val="both"/>
        <w:rPr>
          <w:rFonts w:ascii="Arial" w:hAnsi="Arial" w:cs="Arial"/>
          <w:sz w:val="24"/>
          <w:szCs w:val="24"/>
        </w:rPr>
      </w:pPr>
    </w:p>
    <w:p>
      <w:pPr>
        <w:spacing w:after="0" w:line="240" w:lineRule="auto"/>
        <w:rPr>
          <w:rFonts w:ascii="Arial" w:hAnsi="Arial" w:cs="Arial"/>
          <w:b/>
          <w:sz w:val="24"/>
          <w:szCs w:val="24"/>
        </w:rPr>
      </w:pPr>
      <w:bookmarkStart w:id="0" w:name="_Toc22276"/>
      <w:bookmarkEnd w:id="0"/>
      <w:r>
        <w:rPr>
          <w:rFonts w:ascii="Arial" w:hAnsi="Arial" w:cs="Arial"/>
          <w:b/>
          <w:sz w:val="24"/>
          <w:szCs w:val="24"/>
        </w:rPr>
        <w:t>RESULT AND DISCUSSION</w:t>
      </w:r>
    </w:p>
    <w:p>
      <w:pPr>
        <w:numPr>
          <w:ilvl w:val="0"/>
          <w:numId w:val="1"/>
        </w:numPr>
        <w:spacing w:after="0" w:line="240" w:lineRule="auto"/>
        <w:jc w:val="both"/>
        <w:rPr>
          <w:rFonts w:ascii="Arial" w:hAnsi="Arial" w:cs="Arial"/>
          <w:b/>
          <w:sz w:val="24"/>
          <w:szCs w:val="24"/>
        </w:rPr>
      </w:pPr>
      <w:r>
        <w:rPr>
          <w:rFonts w:ascii="Arial" w:hAnsi="Arial" w:cs="Arial"/>
          <w:b/>
          <w:sz w:val="24"/>
          <w:szCs w:val="24"/>
        </w:rPr>
        <w:t>Physical Stability Test, Irritation Test and Hedonic / Likeability Test</w:t>
      </w:r>
    </w:p>
    <w:p>
      <w:pPr>
        <w:spacing w:after="0" w:line="240" w:lineRule="auto"/>
        <w:ind w:firstLine="720"/>
        <w:jc w:val="both"/>
        <w:rPr>
          <w:rFonts w:ascii="Arial" w:hAnsi="Arial" w:cs="Arial"/>
          <w:sz w:val="24"/>
          <w:szCs w:val="24"/>
        </w:rPr>
      </w:pPr>
      <w:r>
        <w:rPr>
          <w:rFonts w:ascii="Arial" w:hAnsi="Arial" w:cs="Arial"/>
          <w:sz w:val="24"/>
          <w:szCs w:val="24"/>
        </w:rPr>
        <w:t xml:space="preserve">The test results of the physical properties of the aromatherapy liniment oil with variations in the combination of peppermint and lavender with VCO base notes consisted of organoleptic observations, there was no change in shape or texture, color and odor, the homogeneity test was that the Pepperlav formulation could be mixed well, the pH measurement results were within 5- 6, the spreadability test results are susceptible to 6.3-7.6, the adhesion test &lt;5 seconds shows that the adhesion of the preparation is not good, this does not affect the function of the preparation in this study because in this study it was used by inhalation. For the test results the volume transferred is stable, the volume is the same after repeated 6 ml. The results of all the irritation tests provided that both did not cause irritation to the skin of the panelists (there was no hyperemia, erythema, and edema or skin vesicles) and for the hedonic / preference test, most respondents liked the Formula 1 formulation with a combination of peppermint 40%: lavender 50%: VCO 10%. </w:t>
      </w:r>
    </w:p>
    <w:p>
      <w:pPr>
        <w:numPr>
          <w:ilvl w:val="0"/>
          <w:numId w:val="1"/>
        </w:numPr>
        <w:spacing w:after="0" w:line="240" w:lineRule="auto"/>
        <w:jc w:val="both"/>
        <w:rPr>
          <w:rFonts w:ascii="Arial" w:hAnsi="Arial" w:cs="Arial"/>
          <w:sz w:val="24"/>
          <w:szCs w:val="24"/>
        </w:rPr>
      </w:pPr>
      <w:r>
        <w:rPr>
          <w:rFonts w:ascii="Arial" w:hAnsi="Arial" w:cs="Arial"/>
          <w:b/>
          <w:bCs/>
          <w:sz w:val="24"/>
          <w:szCs w:val="24"/>
        </w:rPr>
        <w:t xml:space="preserve">Characteristics of Respondents </w:t>
      </w:r>
    </w:p>
    <w:p>
      <w:pPr>
        <w:spacing w:after="0" w:line="240" w:lineRule="auto"/>
        <w:ind w:firstLine="720"/>
        <w:jc w:val="both"/>
        <w:rPr>
          <w:rFonts w:ascii="Arial" w:hAnsi="Arial" w:cs="Arial"/>
          <w:sz w:val="24"/>
          <w:szCs w:val="24"/>
        </w:rPr>
      </w:pPr>
      <w:r>
        <w:rPr>
          <w:rFonts w:ascii="Arial" w:hAnsi="Arial" w:cs="Arial"/>
          <w:sz w:val="24"/>
          <w:szCs w:val="24"/>
        </w:rPr>
        <w:t xml:space="preserve">The characteristics of TM I pregnant women who experience nausea and vomiting in PMB Midwives Practice Nurul Apri and PMB Midwives Practice Umu Hani : based on age are mostly in the category of healthy reproduction, namely 36 respondents (90%), most of whom have a vocational/high school education, namely 26 respondents (65%), no grandemultigravida (0%) and most of them are housewives namely 25 respondents (62.5%) and there is 1 respondent with student status (2.5%). </w:t>
      </w:r>
    </w:p>
    <w:p>
      <w:pPr>
        <w:numPr>
          <w:ilvl w:val="0"/>
          <w:numId w:val="1"/>
        </w:numPr>
        <w:spacing w:after="0" w:line="240" w:lineRule="auto"/>
        <w:jc w:val="both"/>
        <w:rPr>
          <w:rFonts w:ascii="Arial" w:hAnsi="Arial" w:cs="Arial"/>
          <w:b/>
          <w:bCs/>
          <w:sz w:val="24"/>
          <w:szCs w:val="24"/>
        </w:rPr>
      </w:pPr>
      <w:r>
        <w:rPr>
          <w:rFonts w:ascii="Arial" w:hAnsi="Arial" w:cs="Arial"/>
          <w:b/>
          <w:bCs/>
          <w:sz w:val="24"/>
          <w:szCs w:val="24"/>
        </w:rPr>
        <w:t>Categories of Oral and Vomiting</w:t>
      </w:r>
    </w:p>
    <w:p>
      <w:pPr>
        <w:spacing w:before="0" w:beforeAutospacing="0" w:line="240" w:lineRule="auto"/>
        <w:ind w:firstLine="720"/>
        <w:jc w:val="both"/>
        <w:rPr>
          <w:rFonts w:ascii="Arial" w:hAnsi="Arial" w:cs="Arial"/>
          <w:sz w:val="24"/>
          <w:szCs w:val="24"/>
        </w:rPr>
      </w:pPr>
      <w:r>
        <w:rPr>
          <w:rFonts w:ascii="Arial" w:hAnsi="Arial" w:cs="Arial"/>
          <w:sz w:val="24"/>
          <w:szCs w:val="24"/>
        </w:rPr>
        <w:t>Nausea and vomiting were categorized using the Rhodes Index of Nausea Vomiting and Retching (RINVR). Based on data collection carried out by questionnaires and interviews, the levels of nausea and vomiting of pregnant women in this study can be described in Table 3.</w:t>
      </w:r>
    </w:p>
    <w:p>
      <w:pPr>
        <w:pStyle w:val="4"/>
        <w:spacing w:line="240" w:lineRule="auto"/>
        <w:jc w:val="center"/>
        <w:rPr>
          <w:sz w:val="24"/>
          <w:szCs w:val="24"/>
        </w:rPr>
      </w:pPr>
      <w:r>
        <w:rPr>
          <w:sz w:val="24"/>
          <w:szCs w:val="24"/>
        </w:rPr>
        <w:t>Table 3. Levels of Nausea and Vomiting for Pregnant Women in Trimester I at PMB Nurul Apri and Umu Hani</w:t>
      </w:r>
    </w:p>
    <w:tbl>
      <w:tblPr>
        <w:tblStyle w:val="3"/>
        <w:tblW w:w="7597" w:type="dxa"/>
        <w:tblInd w:w="99" w:type="dxa"/>
        <w:tblLayout w:type="autofit"/>
        <w:tblCellMar>
          <w:top w:w="0" w:type="dxa"/>
          <w:left w:w="0" w:type="dxa"/>
          <w:bottom w:w="0" w:type="dxa"/>
          <w:right w:w="0" w:type="dxa"/>
        </w:tblCellMar>
      </w:tblPr>
      <w:tblGrid>
        <w:gridCol w:w="1753"/>
        <w:gridCol w:w="1849"/>
        <w:gridCol w:w="2185"/>
        <w:gridCol w:w="1954"/>
      </w:tblGrid>
      <w:tr>
        <w:tblPrEx>
          <w:tblCellMar>
            <w:top w:w="0" w:type="dxa"/>
            <w:left w:w="0" w:type="dxa"/>
            <w:bottom w:w="0" w:type="dxa"/>
            <w:right w:w="0" w:type="dxa"/>
          </w:tblCellMar>
        </w:tblPrEx>
        <w:trPr>
          <w:trHeight w:val="291" w:hRule="atLeast"/>
        </w:trPr>
        <w:tc>
          <w:tcPr>
            <w:tcW w:w="1609" w:type="dxa"/>
            <w:tcBorders>
              <w:top w:val="single" w:color="auto" w:sz="4" w:space="0"/>
              <w:left w:val="nil"/>
              <w:bottom w:val="single" w:color="auto" w:sz="4" w:space="0"/>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SimSun" w:cs="Arial"/>
                <w:sz w:val="24"/>
                <w:szCs w:val="24"/>
              </w:rPr>
              <w:t>Category</w:t>
            </w:r>
          </w:p>
        </w:tc>
        <w:tc>
          <w:tcPr>
            <w:tcW w:w="1849" w:type="dxa"/>
            <w:tcBorders>
              <w:top w:val="single" w:color="auto" w:sz="4" w:space="0"/>
              <w:left w:val="nil"/>
              <w:bottom w:val="single" w:color="auto" w:sz="4" w:space="0"/>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SimSun" w:cs="Arial"/>
                <w:sz w:val="24"/>
                <w:szCs w:val="24"/>
              </w:rPr>
              <w:t>Classification</w:t>
            </w:r>
          </w:p>
        </w:tc>
        <w:tc>
          <w:tcPr>
            <w:tcW w:w="2185" w:type="dxa"/>
            <w:tcBorders>
              <w:top w:val="single" w:color="auto" w:sz="4" w:space="0"/>
              <w:left w:val="nil"/>
              <w:bottom w:val="single" w:color="auto" w:sz="4" w:space="0"/>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SimSun" w:cs="Arial"/>
                <w:sz w:val="24"/>
                <w:szCs w:val="24"/>
              </w:rPr>
              <w:t>Before Treatment</w:t>
            </w:r>
          </w:p>
        </w:tc>
        <w:tc>
          <w:tcPr>
            <w:tcW w:w="1954" w:type="dxa"/>
            <w:tcBorders>
              <w:top w:val="single" w:color="auto" w:sz="4" w:space="0"/>
              <w:left w:val="nil"/>
              <w:bottom w:val="single" w:color="auto" w:sz="4" w:space="0"/>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SimSun" w:cs="Arial"/>
                <w:sz w:val="24"/>
                <w:szCs w:val="24"/>
              </w:rPr>
              <w:t>After Treatment</w:t>
            </w:r>
          </w:p>
        </w:tc>
      </w:tr>
      <w:tr>
        <w:tblPrEx>
          <w:tblCellMar>
            <w:top w:w="0" w:type="dxa"/>
            <w:left w:w="0" w:type="dxa"/>
            <w:bottom w:w="0" w:type="dxa"/>
            <w:right w:w="0" w:type="dxa"/>
          </w:tblCellMar>
        </w:tblPrEx>
        <w:trPr>
          <w:trHeight w:val="291" w:hRule="atLeast"/>
        </w:trPr>
        <w:tc>
          <w:tcPr>
            <w:tcW w:w="0" w:type="auto"/>
            <w:tcBorders>
              <w:top w:val="single" w:color="auto" w:sz="4" w:space="0"/>
              <w:left w:val="nil"/>
              <w:bottom w:val="nil"/>
              <w:right w:val="nil"/>
            </w:tcBorders>
            <w:noWrap/>
            <w:tcMar>
              <w:top w:w="9" w:type="dxa"/>
              <w:left w:w="9" w:type="dxa"/>
              <w:bottom w:w="0" w:type="dxa"/>
              <w:right w:w="9" w:type="dxa"/>
            </w:tcMar>
            <w:vAlign w:val="bottom"/>
          </w:tcPr>
          <w:p>
            <w:pPr>
              <w:spacing w:line="240" w:lineRule="auto"/>
              <w:textAlignment w:val="bottom"/>
              <w:rPr>
                <w:rFonts w:ascii="Arial" w:hAnsi="Arial" w:eastAsia="Arial Narrow" w:cs="Arial"/>
                <w:color w:val="000000"/>
                <w:sz w:val="24"/>
                <w:szCs w:val="24"/>
              </w:rPr>
            </w:pPr>
            <w:r>
              <w:rPr>
                <w:rFonts w:ascii="Arial" w:hAnsi="Arial" w:eastAsia="Arial Narrow" w:cs="Arial"/>
                <w:color w:val="000000"/>
                <w:sz w:val="24"/>
                <w:szCs w:val="24"/>
              </w:rPr>
              <w:t>Level of Nausea</w:t>
            </w:r>
          </w:p>
        </w:tc>
        <w:tc>
          <w:tcPr>
            <w:tcW w:w="0" w:type="auto"/>
            <w:tcBorders>
              <w:top w:val="single" w:color="auto" w:sz="4" w:space="0"/>
              <w:left w:val="nil"/>
              <w:bottom w:val="nil"/>
              <w:right w:val="nil"/>
            </w:tcBorders>
            <w:noWrap/>
            <w:tcMar>
              <w:top w:w="9" w:type="dxa"/>
              <w:left w:w="9" w:type="dxa"/>
              <w:bottom w:w="0" w:type="dxa"/>
              <w:right w:w="9" w:type="dxa"/>
            </w:tcMar>
            <w:vAlign w:val="bottom"/>
          </w:tcPr>
          <w:p>
            <w:pPr>
              <w:spacing w:line="240" w:lineRule="auto"/>
              <w:textAlignment w:val="bottom"/>
              <w:rPr>
                <w:rFonts w:ascii="Arial" w:hAnsi="Arial" w:eastAsia="Arial Narrow" w:cs="Arial"/>
                <w:color w:val="000000"/>
                <w:sz w:val="24"/>
                <w:szCs w:val="24"/>
              </w:rPr>
            </w:pPr>
            <w:r>
              <w:rPr>
                <w:rFonts w:ascii="Arial" w:hAnsi="Arial" w:eastAsia="Arial Narrow" w:cs="Arial"/>
                <w:color w:val="000000"/>
                <w:sz w:val="24"/>
                <w:szCs w:val="24"/>
              </w:rPr>
              <w:t>Normal</w:t>
            </w:r>
          </w:p>
        </w:tc>
        <w:tc>
          <w:tcPr>
            <w:tcW w:w="2185" w:type="dxa"/>
            <w:tcBorders>
              <w:top w:val="single" w:color="auto" w:sz="4" w:space="0"/>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0</w:t>
            </w:r>
          </w:p>
        </w:tc>
        <w:tc>
          <w:tcPr>
            <w:tcW w:w="1954" w:type="dxa"/>
            <w:tcBorders>
              <w:top w:val="single" w:color="auto" w:sz="4" w:space="0"/>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5</w:t>
            </w:r>
          </w:p>
        </w:tc>
      </w:tr>
      <w:tr>
        <w:tblPrEx>
          <w:tblCellMar>
            <w:top w:w="0" w:type="dxa"/>
            <w:left w:w="0" w:type="dxa"/>
            <w:bottom w:w="0" w:type="dxa"/>
            <w:right w:w="0" w:type="dxa"/>
          </w:tblCellMar>
        </w:tblPrEx>
        <w:trPr>
          <w:trHeight w:val="291" w:hRule="atLeast"/>
        </w:trPr>
        <w:tc>
          <w:tcPr>
            <w:tcW w:w="0" w:type="auto"/>
            <w:tcBorders>
              <w:top w:val="nil"/>
              <w:left w:val="nil"/>
              <w:bottom w:val="nil"/>
              <w:right w:val="nil"/>
            </w:tcBorders>
            <w:noWrap/>
            <w:tcMar>
              <w:top w:w="9" w:type="dxa"/>
              <w:left w:w="9" w:type="dxa"/>
              <w:bottom w:w="0" w:type="dxa"/>
              <w:right w:w="9" w:type="dxa"/>
            </w:tcMar>
            <w:vAlign w:val="bottom"/>
          </w:tcPr>
          <w:p>
            <w:pPr>
              <w:spacing w:line="240" w:lineRule="auto"/>
              <w:rPr>
                <w:rFonts w:ascii="Arial" w:hAnsi="Arial" w:eastAsia="Arial Narrow" w:cs="Arial"/>
                <w:color w:val="000000"/>
                <w:sz w:val="24"/>
                <w:szCs w:val="24"/>
              </w:rPr>
            </w:pPr>
          </w:p>
        </w:tc>
        <w:tc>
          <w:tcPr>
            <w:tcW w:w="0" w:type="auto"/>
            <w:tcBorders>
              <w:top w:val="nil"/>
              <w:left w:val="nil"/>
              <w:bottom w:val="nil"/>
              <w:right w:val="nil"/>
            </w:tcBorders>
            <w:noWrap/>
            <w:tcMar>
              <w:top w:w="9" w:type="dxa"/>
              <w:left w:w="9" w:type="dxa"/>
              <w:bottom w:w="0" w:type="dxa"/>
              <w:right w:w="9" w:type="dxa"/>
            </w:tcMar>
            <w:vAlign w:val="bottom"/>
          </w:tcPr>
          <w:p>
            <w:pPr>
              <w:spacing w:line="240" w:lineRule="auto"/>
              <w:textAlignment w:val="bottom"/>
              <w:rPr>
                <w:rFonts w:ascii="Arial" w:hAnsi="Arial" w:eastAsia="Arial Narrow" w:cs="Arial"/>
                <w:color w:val="000000"/>
                <w:sz w:val="24"/>
                <w:szCs w:val="24"/>
              </w:rPr>
            </w:pPr>
            <w:r>
              <w:rPr>
                <w:rFonts w:ascii="Arial" w:hAnsi="Arial" w:eastAsia="Arial Narrow" w:cs="Arial"/>
                <w:color w:val="000000"/>
                <w:sz w:val="24"/>
                <w:szCs w:val="24"/>
              </w:rPr>
              <w:t>Severe</w:t>
            </w:r>
          </w:p>
        </w:tc>
        <w:tc>
          <w:tcPr>
            <w:tcW w:w="2185" w:type="dxa"/>
            <w:tcBorders>
              <w:top w:val="nil"/>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23</w:t>
            </w:r>
          </w:p>
        </w:tc>
        <w:tc>
          <w:tcPr>
            <w:tcW w:w="1954" w:type="dxa"/>
            <w:tcBorders>
              <w:top w:val="nil"/>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25</w:t>
            </w:r>
          </w:p>
        </w:tc>
      </w:tr>
      <w:tr>
        <w:tblPrEx>
          <w:tblCellMar>
            <w:top w:w="0" w:type="dxa"/>
            <w:left w:w="0" w:type="dxa"/>
            <w:bottom w:w="0" w:type="dxa"/>
            <w:right w:w="0" w:type="dxa"/>
          </w:tblCellMar>
        </w:tblPrEx>
        <w:trPr>
          <w:trHeight w:val="291" w:hRule="atLeast"/>
        </w:trPr>
        <w:tc>
          <w:tcPr>
            <w:tcW w:w="0" w:type="auto"/>
            <w:tcBorders>
              <w:top w:val="nil"/>
              <w:left w:val="nil"/>
              <w:bottom w:val="nil"/>
              <w:right w:val="nil"/>
            </w:tcBorders>
            <w:noWrap/>
            <w:tcMar>
              <w:top w:w="9" w:type="dxa"/>
              <w:left w:w="9" w:type="dxa"/>
              <w:bottom w:w="0" w:type="dxa"/>
              <w:right w:w="9" w:type="dxa"/>
            </w:tcMar>
            <w:vAlign w:val="bottom"/>
          </w:tcPr>
          <w:p>
            <w:pPr>
              <w:spacing w:line="240" w:lineRule="auto"/>
              <w:rPr>
                <w:rFonts w:ascii="Arial" w:hAnsi="Arial" w:eastAsia="Arial Narrow" w:cs="Arial"/>
                <w:color w:val="000000"/>
                <w:sz w:val="24"/>
                <w:szCs w:val="24"/>
              </w:rPr>
            </w:pPr>
          </w:p>
        </w:tc>
        <w:tc>
          <w:tcPr>
            <w:tcW w:w="0" w:type="auto"/>
            <w:tcBorders>
              <w:top w:val="nil"/>
              <w:left w:val="nil"/>
              <w:bottom w:val="nil"/>
              <w:right w:val="nil"/>
            </w:tcBorders>
            <w:noWrap/>
            <w:tcMar>
              <w:top w:w="9" w:type="dxa"/>
              <w:left w:w="9" w:type="dxa"/>
              <w:bottom w:w="0" w:type="dxa"/>
              <w:right w:w="9" w:type="dxa"/>
            </w:tcMar>
            <w:vAlign w:val="bottom"/>
          </w:tcPr>
          <w:p>
            <w:pPr>
              <w:spacing w:line="240" w:lineRule="auto"/>
              <w:textAlignment w:val="bottom"/>
              <w:rPr>
                <w:rFonts w:ascii="Arial" w:hAnsi="Arial" w:eastAsia="Arial Narrow" w:cs="Arial"/>
                <w:color w:val="000000"/>
                <w:sz w:val="24"/>
                <w:szCs w:val="24"/>
              </w:rPr>
            </w:pPr>
            <w:r>
              <w:rPr>
                <w:rFonts w:ascii="Arial" w:hAnsi="Arial" w:eastAsia="Arial Narrow" w:cs="Arial"/>
                <w:color w:val="000000"/>
                <w:sz w:val="24"/>
                <w:szCs w:val="24"/>
              </w:rPr>
              <w:t>Moderate</w:t>
            </w:r>
          </w:p>
        </w:tc>
        <w:tc>
          <w:tcPr>
            <w:tcW w:w="2185" w:type="dxa"/>
            <w:tcBorders>
              <w:top w:val="nil"/>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16</w:t>
            </w:r>
          </w:p>
        </w:tc>
        <w:tc>
          <w:tcPr>
            <w:tcW w:w="1954" w:type="dxa"/>
            <w:tcBorders>
              <w:top w:val="nil"/>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9</w:t>
            </w:r>
          </w:p>
        </w:tc>
      </w:tr>
      <w:tr>
        <w:tblPrEx>
          <w:tblCellMar>
            <w:top w:w="0" w:type="dxa"/>
            <w:left w:w="0" w:type="dxa"/>
            <w:bottom w:w="0" w:type="dxa"/>
            <w:right w:w="0" w:type="dxa"/>
          </w:tblCellMar>
        </w:tblPrEx>
        <w:trPr>
          <w:trHeight w:val="291" w:hRule="atLeast"/>
        </w:trPr>
        <w:tc>
          <w:tcPr>
            <w:tcW w:w="0" w:type="auto"/>
            <w:tcBorders>
              <w:top w:val="nil"/>
              <w:left w:val="nil"/>
              <w:bottom w:val="nil"/>
              <w:right w:val="nil"/>
            </w:tcBorders>
            <w:noWrap/>
            <w:tcMar>
              <w:top w:w="9" w:type="dxa"/>
              <w:left w:w="9" w:type="dxa"/>
              <w:bottom w:w="0" w:type="dxa"/>
              <w:right w:w="9" w:type="dxa"/>
            </w:tcMar>
            <w:vAlign w:val="bottom"/>
          </w:tcPr>
          <w:p>
            <w:pPr>
              <w:spacing w:line="240" w:lineRule="auto"/>
              <w:rPr>
                <w:rFonts w:ascii="Arial" w:hAnsi="Arial" w:eastAsia="Arial Narrow" w:cs="Arial"/>
                <w:color w:val="000000"/>
                <w:sz w:val="24"/>
                <w:szCs w:val="24"/>
              </w:rPr>
            </w:pPr>
          </w:p>
        </w:tc>
        <w:tc>
          <w:tcPr>
            <w:tcW w:w="0" w:type="auto"/>
            <w:tcBorders>
              <w:top w:val="nil"/>
              <w:left w:val="nil"/>
              <w:bottom w:val="nil"/>
              <w:right w:val="nil"/>
            </w:tcBorders>
            <w:noWrap/>
            <w:tcMar>
              <w:top w:w="9" w:type="dxa"/>
              <w:left w:w="9" w:type="dxa"/>
              <w:bottom w:w="0" w:type="dxa"/>
              <w:right w:w="9" w:type="dxa"/>
            </w:tcMar>
            <w:vAlign w:val="bottom"/>
          </w:tcPr>
          <w:p>
            <w:pPr>
              <w:spacing w:line="240" w:lineRule="auto"/>
              <w:textAlignment w:val="bottom"/>
              <w:rPr>
                <w:rFonts w:ascii="Arial" w:hAnsi="Arial" w:eastAsia="Arial Narrow" w:cs="Arial"/>
                <w:color w:val="000000"/>
                <w:sz w:val="24"/>
                <w:szCs w:val="24"/>
              </w:rPr>
            </w:pPr>
            <w:r>
              <w:rPr>
                <w:rFonts w:ascii="Arial" w:hAnsi="Arial" w:eastAsia="SimSun" w:cs="Arial"/>
                <w:sz w:val="24"/>
                <w:szCs w:val="24"/>
              </w:rPr>
              <w:t>Weight</w:t>
            </w:r>
          </w:p>
        </w:tc>
        <w:tc>
          <w:tcPr>
            <w:tcW w:w="2185" w:type="dxa"/>
            <w:tcBorders>
              <w:top w:val="nil"/>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1</w:t>
            </w:r>
          </w:p>
        </w:tc>
        <w:tc>
          <w:tcPr>
            <w:tcW w:w="1954" w:type="dxa"/>
            <w:tcBorders>
              <w:top w:val="nil"/>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1</w:t>
            </w:r>
          </w:p>
        </w:tc>
      </w:tr>
      <w:tr>
        <w:tblPrEx>
          <w:tblCellMar>
            <w:top w:w="0" w:type="dxa"/>
            <w:left w:w="0" w:type="dxa"/>
            <w:bottom w:w="0" w:type="dxa"/>
            <w:right w:w="0" w:type="dxa"/>
          </w:tblCellMar>
        </w:tblPrEx>
        <w:trPr>
          <w:trHeight w:val="291" w:hRule="atLeast"/>
        </w:trPr>
        <w:tc>
          <w:tcPr>
            <w:tcW w:w="0" w:type="auto"/>
            <w:tcBorders>
              <w:top w:val="nil"/>
              <w:left w:val="nil"/>
              <w:bottom w:val="nil"/>
              <w:right w:val="nil"/>
            </w:tcBorders>
            <w:noWrap/>
            <w:tcMar>
              <w:top w:w="9" w:type="dxa"/>
              <w:left w:w="9" w:type="dxa"/>
              <w:bottom w:w="0" w:type="dxa"/>
              <w:right w:w="9" w:type="dxa"/>
            </w:tcMar>
            <w:vAlign w:val="bottom"/>
          </w:tcPr>
          <w:p>
            <w:pPr>
              <w:spacing w:line="240" w:lineRule="auto"/>
              <w:rPr>
                <w:rFonts w:ascii="Arial" w:hAnsi="Arial" w:eastAsia="Arial Narrow" w:cs="Arial"/>
                <w:color w:val="000000"/>
                <w:sz w:val="24"/>
                <w:szCs w:val="24"/>
              </w:rPr>
            </w:pPr>
          </w:p>
        </w:tc>
        <w:tc>
          <w:tcPr>
            <w:tcW w:w="0" w:type="auto"/>
            <w:tcBorders>
              <w:top w:val="nil"/>
              <w:left w:val="nil"/>
              <w:bottom w:val="nil"/>
              <w:right w:val="nil"/>
            </w:tcBorders>
            <w:noWrap/>
            <w:tcMar>
              <w:top w:w="9" w:type="dxa"/>
              <w:left w:w="9" w:type="dxa"/>
              <w:bottom w:w="0" w:type="dxa"/>
              <w:right w:w="9" w:type="dxa"/>
            </w:tcMar>
            <w:vAlign w:val="bottom"/>
          </w:tcPr>
          <w:p>
            <w:pPr>
              <w:spacing w:line="240" w:lineRule="auto"/>
              <w:textAlignment w:val="bottom"/>
              <w:rPr>
                <w:rFonts w:ascii="Arial" w:hAnsi="Arial" w:eastAsia="Arial Narrow" w:cs="Arial"/>
                <w:color w:val="000000"/>
                <w:sz w:val="24"/>
                <w:szCs w:val="24"/>
              </w:rPr>
            </w:pPr>
            <w:r>
              <w:rPr>
                <w:rFonts w:ascii="Arial" w:hAnsi="Arial" w:eastAsia="SimSun" w:cs="Arial"/>
                <w:sz w:val="24"/>
                <w:szCs w:val="24"/>
              </w:rPr>
              <w:t>Very heavy</w:t>
            </w:r>
          </w:p>
        </w:tc>
        <w:tc>
          <w:tcPr>
            <w:tcW w:w="2185" w:type="dxa"/>
            <w:tcBorders>
              <w:top w:val="nil"/>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0</w:t>
            </w:r>
          </w:p>
        </w:tc>
        <w:tc>
          <w:tcPr>
            <w:tcW w:w="1954" w:type="dxa"/>
            <w:tcBorders>
              <w:top w:val="nil"/>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0</w:t>
            </w:r>
          </w:p>
        </w:tc>
      </w:tr>
      <w:tr>
        <w:tblPrEx>
          <w:tblCellMar>
            <w:top w:w="0" w:type="dxa"/>
            <w:left w:w="0" w:type="dxa"/>
            <w:bottom w:w="0" w:type="dxa"/>
            <w:right w:w="0" w:type="dxa"/>
          </w:tblCellMar>
        </w:tblPrEx>
        <w:trPr>
          <w:trHeight w:val="291" w:hRule="atLeast"/>
        </w:trPr>
        <w:tc>
          <w:tcPr>
            <w:tcW w:w="0" w:type="auto"/>
            <w:tcBorders>
              <w:top w:val="nil"/>
              <w:left w:val="nil"/>
              <w:bottom w:val="nil"/>
              <w:right w:val="nil"/>
            </w:tcBorders>
            <w:noWrap/>
            <w:tcMar>
              <w:top w:w="9" w:type="dxa"/>
              <w:left w:w="9" w:type="dxa"/>
              <w:bottom w:w="0" w:type="dxa"/>
              <w:right w:w="9" w:type="dxa"/>
            </w:tcMar>
            <w:vAlign w:val="bottom"/>
          </w:tcPr>
          <w:p>
            <w:pPr>
              <w:spacing w:line="240" w:lineRule="auto"/>
              <w:rPr>
                <w:rFonts w:ascii="Arial" w:hAnsi="Arial" w:eastAsia="Arial Narrow" w:cs="Arial"/>
                <w:color w:val="000000"/>
                <w:sz w:val="24"/>
                <w:szCs w:val="24"/>
              </w:rPr>
            </w:pPr>
          </w:p>
        </w:tc>
        <w:tc>
          <w:tcPr>
            <w:tcW w:w="0" w:type="auto"/>
            <w:tcBorders>
              <w:top w:val="nil"/>
              <w:left w:val="nil"/>
              <w:bottom w:val="nil"/>
              <w:right w:val="nil"/>
            </w:tcBorders>
            <w:noWrap/>
            <w:tcMar>
              <w:top w:w="9" w:type="dxa"/>
              <w:left w:w="9" w:type="dxa"/>
              <w:bottom w:w="0" w:type="dxa"/>
              <w:right w:w="9" w:type="dxa"/>
            </w:tcMar>
            <w:vAlign w:val="bottom"/>
          </w:tcPr>
          <w:p>
            <w:pPr>
              <w:spacing w:line="240" w:lineRule="auto"/>
              <w:textAlignment w:val="bottom"/>
              <w:rPr>
                <w:rFonts w:ascii="Arial" w:hAnsi="Arial" w:eastAsia="Arial Narrow" w:cs="Arial"/>
                <w:color w:val="000000"/>
                <w:sz w:val="24"/>
                <w:szCs w:val="24"/>
              </w:rPr>
            </w:pPr>
            <w:r>
              <w:rPr>
                <w:rFonts w:ascii="Arial" w:hAnsi="Arial" w:eastAsia="Arial Narrow" w:cs="Arial"/>
                <w:color w:val="000000"/>
                <w:sz w:val="24"/>
                <w:szCs w:val="24"/>
              </w:rPr>
              <w:t>Total  (N)</w:t>
            </w:r>
          </w:p>
        </w:tc>
        <w:tc>
          <w:tcPr>
            <w:tcW w:w="2185" w:type="dxa"/>
            <w:tcBorders>
              <w:top w:val="nil"/>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40</w:t>
            </w:r>
          </w:p>
        </w:tc>
        <w:tc>
          <w:tcPr>
            <w:tcW w:w="1954" w:type="dxa"/>
            <w:tcBorders>
              <w:top w:val="nil"/>
              <w:left w:val="nil"/>
              <w:bottom w:val="nil"/>
              <w:right w:val="nil"/>
            </w:tcBorders>
            <w:noWrap/>
            <w:tcMar>
              <w:top w:w="9" w:type="dxa"/>
              <w:left w:w="9" w:type="dxa"/>
              <w:bottom w:w="0" w:type="dxa"/>
              <w:right w:w="9" w:type="dxa"/>
            </w:tcMar>
            <w:vAlign w:val="bottom"/>
          </w:tcPr>
          <w:p>
            <w:pPr>
              <w:spacing w:line="240" w:lineRule="auto"/>
              <w:jc w:val="center"/>
              <w:textAlignment w:val="bottom"/>
              <w:rPr>
                <w:rFonts w:ascii="Arial" w:hAnsi="Arial" w:eastAsia="Arial Narrow" w:cs="Arial"/>
                <w:color w:val="000000"/>
                <w:sz w:val="24"/>
                <w:szCs w:val="24"/>
              </w:rPr>
            </w:pPr>
            <w:r>
              <w:rPr>
                <w:rFonts w:ascii="Arial" w:hAnsi="Arial" w:eastAsia="Arial Narrow" w:cs="Arial"/>
                <w:color w:val="000000"/>
                <w:sz w:val="24"/>
                <w:szCs w:val="24"/>
              </w:rPr>
              <w:t>40</w:t>
            </w:r>
          </w:p>
        </w:tc>
      </w:tr>
    </w:tbl>
    <w:p>
      <w:pPr>
        <w:spacing w:line="240" w:lineRule="auto"/>
        <w:jc w:val="both"/>
        <w:rPr>
          <w:rFonts w:ascii="Arial" w:hAnsi="Arial" w:cs="Arial"/>
          <w:b/>
          <w:bCs/>
          <w:sz w:val="24"/>
          <w:szCs w:val="24"/>
        </w:rPr>
      </w:pPr>
    </w:p>
    <w:p>
      <w:pPr>
        <w:numPr>
          <w:ilvl w:val="0"/>
          <w:numId w:val="1"/>
        </w:numPr>
        <w:spacing w:after="40" w:line="240" w:lineRule="auto"/>
        <w:jc w:val="both"/>
        <w:rPr>
          <w:rFonts w:ascii="Arial" w:hAnsi="Arial" w:cs="Arial"/>
          <w:b/>
          <w:bCs/>
          <w:sz w:val="24"/>
          <w:szCs w:val="24"/>
        </w:rPr>
      </w:pPr>
      <w:r>
        <w:rPr>
          <w:rFonts w:ascii="Arial" w:hAnsi="Arial" w:cs="Arial"/>
          <w:b/>
          <w:bCs/>
          <w:sz w:val="24"/>
          <w:szCs w:val="24"/>
        </w:rPr>
        <w:t>Effectiveness of Pepperlav Aromatherapy Preparations Against Nausea and Vomiting of Pregnant Women TM I</w:t>
      </w:r>
    </w:p>
    <w:p>
      <w:pPr>
        <w:spacing w:line="240" w:lineRule="auto"/>
        <w:ind w:firstLine="720"/>
        <w:jc w:val="both"/>
        <w:rPr>
          <w:rFonts w:ascii="Arial" w:hAnsi="Arial" w:cs="Arial"/>
          <w:sz w:val="24"/>
          <w:szCs w:val="24"/>
        </w:rPr>
      </w:pPr>
      <w:r>
        <w:rPr>
          <w:rFonts w:ascii="Arial" w:hAnsi="Arial" w:cs="Arial"/>
          <w:sz w:val="24"/>
          <w:szCs w:val="24"/>
        </w:rPr>
        <w:t xml:space="preserve">The pepperlav aromatherapy formulation that was tested on pregnant women was formulated with a VCO oil base note consisting of 3 formulations, namely Formula 1, Formula 2 and Formula 3, while the F1A, F2A, and F3A preparations were not tested on pregnant women because they were based on the hedonic test results. most of them dislike the aroma resulting from the peppermint, lavender and patchouli oil formulations. The effectiveness test of pepperlav aromatherapy preparations was carried out by giving one aromatherapy preparation formulation to pregnant women who experienced nausea and vomiting randomly, each preparation was given to 10 pregnant women. Furthermore, there were 10 pregnant women who had been assessed for nausea and vomiting but were not given aromatherapy preparations. This group was used as the comparison group. To determine the effectiveness, measurements of nausea and vomiting were carried out before and after the intervention for each group. Based on statistical data analysis using </w:t>
      </w:r>
      <w:r>
        <w:rPr>
          <w:rFonts w:ascii="Arial" w:hAnsi="Arial" w:cs="Arial"/>
          <w:i/>
          <w:sz w:val="24"/>
          <w:szCs w:val="24"/>
        </w:rPr>
        <w:t>Paired T-test</w:t>
      </w:r>
      <w:r>
        <w:rPr>
          <w:rFonts w:ascii="Arial" w:hAnsi="Arial" w:cs="Arial"/>
          <w:sz w:val="24"/>
          <w:szCs w:val="24"/>
        </w:rPr>
        <w:t xml:space="preserve"> analysis </w:t>
      </w:r>
      <w:r>
        <w:rPr>
          <w:rFonts w:ascii="Arial" w:hAnsi="Arial" w:cs="Arial"/>
          <w:sz w:val="24"/>
          <w:szCs w:val="24"/>
        </w:rPr>
        <w:fldChar w:fldCharType="begin" w:fldLock="1"/>
      </w:r>
      <w:r>
        <w:rPr>
          <w:rFonts w:ascii="Arial" w:hAnsi="Arial" w:cs="Arial"/>
          <w:sz w:val="24"/>
          <w:szCs w:val="24"/>
        </w:rPr>
        <w:instrText xml:space="preserve">ADDIN CSL_CITATION {"citationItems":[{"id":"ITEM-1","itemData":{"author":[{"dropping-particle":"","family":"Notoadmodjo","given":"","non-dropping-particle":"","parse-names":false,"suffix":""}],"id":"ITEM-1","issued":{"date-parts":[["0"]]},"title":"Metodologi Penelitian Kesehatan","type":"book"},"uris":["http://www.mendeley.com/documents/?uuid=ea1b14b7-9313-4d29-86d4-05706138390e"]}],"mendeley":{"formattedCitation":"(9)","plainTextFormattedCitation":"(9)"},"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(9)</w:t>
      </w:r>
      <w:r>
        <w:rPr>
          <w:rFonts w:ascii="Arial" w:hAnsi="Arial" w:cs="Arial"/>
          <w:sz w:val="24"/>
          <w:szCs w:val="24"/>
        </w:rPr>
        <w:fldChar w:fldCharType="end"/>
      </w:r>
      <w:r>
        <w:rPr>
          <w:rFonts w:ascii="Arial" w:hAnsi="Arial" w:cs="Arial"/>
          <w:sz w:val="24"/>
          <w:szCs w:val="24"/>
        </w:rPr>
        <w:t>, the results of the effectiveness test of inhaled pepperlav aromatherapy on nausea and vomiting of TM I pregnant women were obtained in Table 4.</w:t>
      </w:r>
    </w:p>
    <w:p>
      <w:pPr>
        <w:spacing w:after="0" w:line="240" w:lineRule="auto"/>
        <w:ind w:firstLine="720"/>
        <w:jc w:val="both"/>
        <w:rPr>
          <w:rFonts w:ascii="Arial" w:hAnsi="Arial" w:cs="Arial"/>
          <w:sz w:val="24"/>
          <w:szCs w:val="24"/>
        </w:rPr>
      </w:pPr>
      <w:r>
        <w:rPr>
          <w:rFonts w:ascii="Arial" w:hAnsi="Arial" w:cs="Arial"/>
          <w:sz w:val="24"/>
          <w:szCs w:val="24"/>
        </w:rPr>
        <w:t xml:space="preserve">Based on the results of statistical tests using SPSS with </w:t>
      </w:r>
      <w:r>
        <w:rPr>
          <w:rFonts w:ascii="Arial" w:hAnsi="Arial" w:cs="Arial"/>
          <w:i/>
          <w:iCs/>
          <w:sz w:val="24"/>
          <w:szCs w:val="24"/>
        </w:rPr>
        <w:t>Paired t Test</w:t>
      </w:r>
      <w:r>
        <w:rPr>
          <w:rFonts w:ascii="Arial" w:hAnsi="Arial" w:cs="Arial"/>
          <w:sz w:val="24"/>
          <w:szCs w:val="24"/>
        </w:rPr>
        <w:t xml:space="preserve"> analysis, it was found that the t count in the Formula 1 formulation was 4,946, indicating that before giving aromatherapy the level of nausea and vomiting of pregnant women was greater than after being given arotherapy for Formula 1 formulation. , a significant formulation to reduce nausea and vomiting in pregnant women is the Formula 1 formulation with a significant value (p) 0.001 &lt;0.05. Based on table 8 the significant value (p) for Formula 2, Formula 3 and untreated formulations is&gt; 0.05. This shows that the Formula 2 and Formula 3 formulations do not provide a significant change in nausea and vomiting of pregnant women.</w:t>
      </w:r>
    </w:p>
    <w:p>
      <w:pPr>
        <w:spacing w:line="240" w:lineRule="auto"/>
        <w:jc w:val="center"/>
        <w:rPr>
          <w:rFonts w:ascii="Arial" w:hAnsi="Arial" w:cs="Arial"/>
          <w:sz w:val="24"/>
          <w:szCs w:val="24"/>
        </w:rPr>
      </w:pPr>
      <w:r>
        <w:rPr>
          <w:rFonts w:ascii="Arial" w:hAnsi="Arial" w:cs="Arial"/>
          <w:sz w:val="24"/>
          <w:szCs w:val="24"/>
        </w:rPr>
        <w:t>Table 4. Statistical Test Results on the Effectiveness of Aromatherapy Pepperlav Inhalation Against Nausea and Vomiting of TM I Pregnant Women</w:t>
      </w:r>
    </w:p>
    <w:tbl>
      <w:tblPr>
        <w:tblStyle w:val="3"/>
        <w:tblW w:w="10348" w:type="dxa"/>
        <w:tblInd w:w="-31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
      <w:tblGrid>
        <w:gridCol w:w="3683"/>
        <w:gridCol w:w="1407"/>
        <w:gridCol w:w="1850"/>
        <w:gridCol w:w="993"/>
        <w:gridCol w:w="708"/>
        <w:gridCol w:w="940"/>
        <w:gridCol w:w="76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Pr>
        <w:tc>
          <w:tcPr>
            <w:tcW w:w="10348" w:type="dxa"/>
            <w:gridSpan w:val="7"/>
            <w:tcBorders>
              <w:top w:val="nil"/>
              <w:left w:val="nil"/>
              <w:bottom w:val="nil"/>
              <w:right w:val="nil"/>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center"/>
              <w:rPr>
                <w:rFonts w:ascii="Arial" w:hAnsi="Arial" w:eastAsia="SimSun" w:cs="Arial"/>
                <w:color w:val="000000"/>
                <w:sz w:val="24"/>
                <w:szCs w:val="24"/>
              </w:rPr>
            </w:pPr>
            <w:r>
              <w:rPr>
                <w:rFonts w:ascii="Arial" w:hAnsi="Arial" w:eastAsia="SimSun" w:cs="Arial"/>
                <w:b/>
                <w:bCs/>
                <w:color w:val="000000"/>
                <w:sz w:val="24"/>
                <w:szCs w:val="24"/>
              </w:rPr>
              <w:t>Paired Samples Test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gridAfter w:val="1"/>
          <w:wAfter w:w="767" w:type="dxa"/>
          <w:cantSplit/>
          <w:trHeight w:val="290" w:hRule="atLeast"/>
        </w:trPr>
        <w:tc>
          <w:tcPr>
            <w:tcW w:w="3683" w:type="dxa"/>
            <w:vMerge w:val="restart"/>
            <w:tcBorders>
              <w:top w:val="single" w:color="000000" w:sz="18" w:space="0"/>
              <w:left w:val="nil"/>
              <w:bottom w:val="single" w:color="000000" w:sz="8" w:space="0"/>
              <w:right w:val="single" w:color="000000" w:sz="18" w:space="0"/>
            </w:tcBorders>
            <w:shd w:val="clear" w:color="auto" w:fill="FFFFFF"/>
            <w:tcMar>
              <w:top w:w="30" w:type="dxa"/>
              <w:left w:w="30" w:type="dxa"/>
              <w:bottom w:w="30" w:type="dxa"/>
              <w:right w:w="30" w:type="dxa"/>
            </w:tcMar>
          </w:tcPr>
          <w:p>
            <w:pPr>
              <w:autoSpaceDE w:val="0"/>
              <w:autoSpaceDN w:val="0"/>
              <w:adjustRightInd w:val="0"/>
              <w:spacing w:after="0" w:line="240" w:lineRule="auto"/>
              <w:rPr>
                <w:rFonts w:ascii="Arial" w:hAnsi="Arial" w:eastAsia="SimSun" w:cs="Arial"/>
                <w:sz w:val="24"/>
                <w:szCs w:val="24"/>
              </w:rPr>
            </w:pPr>
          </w:p>
        </w:tc>
        <w:tc>
          <w:tcPr>
            <w:tcW w:w="3257" w:type="dxa"/>
            <w:gridSpan w:val="2"/>
            <w:tcBorders>
              <w:top w:val="single" w:color="000000" w:sz="18" w:space="0"/>
              <w:left w:val="nil"/>
              <w:bottom w:val="single" w:color="000000" w:sz="8" w:space="0"/>
              <w:right w:val="single" w:color="000000" w:sz="8"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Arial" w:hAnsi="Arial" w:eastAsia="SimSun" w:cs="Arial"/>
                <w:color w:val="000000"/>
                <w:sz w:val="24"/>
                <w:szCs w:val="24"/>
              </w:rPr>
            </w:pPr>
            <w:r>
              <w:rPr>
                <w:rFonts w:ascii="Arial" w:hAnsi="Arial" w:eastAsia="SimSun" w:cs="Arial"/>
                <w:color w:val="000000"/>
                <w:sz w:val="24"/>
                <w:szCs w:val="24"/>
              </w:rPr>
              <w:t>Paired Differences</w:t>
            </w:r>
          </w:p>
        </w:tc>
        <w:tc>
          <w:tcPr>
            <w:tcW w:w="993" w:type="dxa"/>
            <w:vMerge w:val="restart"/>
            <w:tcBorders>
              <w:top w:val="single" w:color="000000" w:sz="18" w:space="0"/>
              <w:left w:val="single" w:color="000000" w:sz="8" w:space="0"/>
              <w:bottom w:val="single" w:color="000000" w:sz="18" w:space="0"/>
              <w:right w:val="single" w:color="000000" w:sz="8"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Arial" w:hAnsi="Arial" w:eastAsia="SimSun" w:cs="Arial"/>
                <w:color w:val="000000"/>
                <w:sz w:val="24"/>
                <w:szCs w:val="24"/>
              </w:rPr>
            </w:pPr>
            <w:r>
              <w:rPr>
                <w:rFonts w:ascii="Arial" w:hAnsi="Arial" w:eastAsia="SimSun" w:cs="Arial"/>
                <w:color w:val="000000"/>
                <w:sz w:val="24"/>
                <w:szCs w:val="24"/>
              </w:rPr>
              <w:t>t</w:t>
            </w:r>
          </w:p>
        </w:tc>
        <w:tc>
          <w:tcPr>
            <w:tcW w:w="708" w:type="dxa"/>
            <w:vMerge w:val="restart"/>
            <w:tcBorders>
              <w:top w:val="single" w:color="000000" w:sz="18" w:space="0"/>
              <w:left w:val="single" w:color="000000" w:sz="8" w:space="0"/>
              <w:bottom w:val="single" w:color="000000" w:sz="18" w:space="0"/>
              <w:right w:val="single" w:color="000000" w:sz="8"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Arial" w:hAnsi="Arial" w:eastAsia="SimSun" w:cs="Arial"/>
                <w:color w:val="000000"/>
                <w:sz w:val="24"/>
                <w:szCs w:val="24"/>
              </w:rPr>
            </w:pPr>
            <w:r>
              <w:rPr>
                <w:rFonts w:ascii="Arial" w:hAnsi="Arial" w:eastAsia="SimSun" w:cs="Arial"/>
                <w:color w:val="000000"/>
                <w:sz w:val="24"/>
                <w:szCs w:val="24"/>
              </w:rPr>
              <w:t>df</w:t>
            </w:r>
          </w:p>
        </w:tc>
        <w:tc>
          <w:tcPr>
            <w:tcW w:w="940" w:type="dxa"/>
            <w:vMerge w:val="restart"/>
            <w:tcBorders>
              <w:top w:val="single" w:color="000000" w:sz="18" w:space="0"/>
              <w:left w:val="single" w:color="000000" w:sz="8" w:space="0"/>
              <w:bottom w:val="single" w:color="000000" w:sz="18" w:space="0"/>
              <w:right w:val="single" w:color="000000" w:sz="18"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Arial" w:hAnsi="Arial" w:eastAsia="SimSun" w:cs="Arial"/>
                <w:color w:val="000000"/>
                <w:sz w:val="24"/>
                <w:szCs w:val="24"/>
              </w:rPr>
            </w:pPr>
            <w:r>
              <w:rPr>
                <w:rFonts w:ascii="Arial" w:hAnsi="Arial" w:eastAsia="SimSun" w:cs="Arial"/>
                <w:color w:val="000000"/>
                <w:sz w:val="24"/>
                <w:szCs w:val="24"/>
              </w:rPr>
              <w:t>Sig. (2-tailed)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gridAfter w:val="1"/>
          <w:wAfter w:w="767" w:type="dxa"/>
          <w:cantSplit/>
          <w:trHeight w:val="230" w:hRule="atLeast"/>
        </w:trPr>
        <w:tc>
          <w:tcPr>
            <w:tcW w:w="10348" w:type="dxa"/>
            <w:vMerge w:val="continue"/>
            <w:tcBorders>
              <w:top w:val="single" w:color="000000" w:sz="18" w:space="0"/>
              <w:left w:val="nil"/>
              <w:bottom w:val="single" w:color="000000" w:sz="8" w:space="0"/>
              <w:right w:val="single" w:color="000000" w:sz="18" w:space="0"/>
            </w:tcBorders>
            <w:vAlign w:val="center"/>
          </w:tcPr>
          <w:p>
            <w:pPr>
              <w:spacing w:before="0" w:beforeAutospacing="0" w:after="0" w:line="240" w:lineRule="auto"/>
              <w:rPr>
                <w:rFonts w:ascii="Arial" w:hAnsi="Arial" w:eastAsia="SimSun" w:cs="Arial"/>
                <w:sz w:val="24"/>
                <w:szCs w:val="24"/>
              </w:rPr>
            </w:pPr>
          </w:p>
        </w:tc>
        <w:tc>
          <w:tcPr>
            <w:tcW w:w="1407" w:type="dxa"/>
            <w:tcBorders>
              <w:top w:val="single" w:color="000000" w:sz="8" w:space="0"/>
              <w:left w:val="nil"/>
              <w:bottom w:val="single" w:color="000000" w:sz="18" w:space="0"/>
              <w:right w:val="single" w:color="000000" w:sz="8"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Arial" w:hAnsi="Arial" w:eastAsia="SimSun" w:cs="Arial"/>
                <w:color w:val="000000"/>
                <w:sz w:val="24"/>
                <w:szCs w:val="24"/>
              </w:rPr>
            </w:pPr>
            <w:r>
              <w:rPr>
                <w:rFonts w:ascii="Arial" w:hAnsi="Arial" w:eastAsia="SimSun" w:cs="Arial"/>
                <w:color w:val="000000"/>
                <w:sz w:val="24"/>
                <w:szCs w:val="24"/>
              </w:rPr>
              <w:t>Mean</w:t>
            </w:r>
          </w:p>
        </w:tc>
        <w:tc>
          <w:tcPr>
            <w:tcW w:w="1850" w:type="dxa"/>
            <w:tcBorders>
              <w:top w:val="single" w:color="000000" w:sz="8" w:space="0"/>
              <w:left w:val="single" w:color="000000" w:sz="8" w:space="0"/>
              <w:bottom w:val="single" w:color="000000" w:sz="18" w:space="0"/>
              <w:right w:val="single" w:color="000000" w:sz="8"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Arial" w:hAnsi="Arial" w:eastAsia="SimSun" w:cs="Arial"/>
                <w:color w:val="000000"/>
                <w:sz w:val="24"/>
                <w:szCs w:val="24"/>
              </w:rPr>
            </w:pPr>
            <w:r>
              <w:rPr>
                <w:rFonts w:ascii="Arial" w:hAnsi="Arial" w:eastAsia="SimSun" w:cs="Arial"/>
                <w:color w:val="000000"/>
                <w:sz w:val="24"/>
                <w:szCs w:val="24"/>
              </w:rPr>
              <w:t>Std. Deviation</w:t>
            </w:r>
          </w:p>
        </w:tc>
        <w:tc>
          <w:tcPr>
            <w:tcW w:w="993" w:type="dxa"/>
            <w:vMerge w:val="continue"/>
            <w:tcBorders>
              <w:top w:val="single" w:color="000000" w:sz="18" w:space="0"/>
              <w:left w:val="single" w:color="000000" w:sz="8" w:space="0"/>
              <w:bottom w:val="single" w:color="000000" w:sz="18" w:space="0"/>
              <w:right w:val="single" w:color="000000" w:sz="8" w:space="0"/>
            </w:tcBorders>
            <w:vAlign w:val="center"/>
          </w:tcPr>
          <w:p>
            <w:pPr>
              <w:spacing w:before="0" w:beforeAutospacing="0" w:after="0" w:line="240" w:lineRule="auto"/>
              <w:rPr>
                <w:rFonts w:ascii="Arial" w:hAnsi="Arial" w:eastAsia="SimSun" w:cs="Arial"/>
                <w:color w:val="000000"/>
                <w:sz w:val="24"/>
                <w:szCs w:val="24"/>
              </w:rPr>
            </w:pPr>
          </w:p>
        </w:tc>
        <w:tc>
          <w:tcPr>
            <w:tcW w:w="708" w:type="dxa"/>
            <w:vMerge w:val="continue"/>
            <w:tcBorders>
              <w:top w:val="single" w:color="000000" w:sz="18" w:space="0"/>
              <w:left w:val="single" w:color="000000" w:sz="8" w:space="0"/>
              <w:bottom w:val="single" w:color="000000" w:sz="18" w:space="0"/>
              <w:right w:val="single" w:color="000000" w:sz="8" w:space="0"/>
            </w:tcBorders>
            <w:vAlign w:val="center"/>
          </w:tcPr>
          <w:p>
            <w:pPr>
              <w:spacing w:before="0" w:beforeAutospacing="0" w:after="0" w:line="240" w:lineRule="auto"/>
              <w:rPr>
                <w:rFonts w:ascii="Arial" w:hAnsi="Arial" w:eastAsia="SimSun" w:cs="Arial"/>
                <w:color w:val="000000"/>
                <w:sz w:val="24"/>
                <w:szCs w:val="24"/>
              </w:rPr>
            </w:pPr>
          </w:p>
        </w:tc>
        <w:tc>
          <w:tcPr>
            <w:tcW w:w="940" w:type="dxa"/>
            <w:vMerge w:val="continue"/>
            <w:tcBorders>
              <w:top w:val="single" w:color="000000" w:sz="18" w:space="0"/>
              <w:left w:val="single" w:color="000000" w:sz="8" w:space="0"/>
              <w:bottom w:val="single" w:color="000000" w:sz="18" w:space="0"/>
              <w:right w:val="single" w:color="000000" w:sz="18" w:space="0"/>
            </w:tcBorders>
            <w:vAlign w:val="center"/>
          </w:tcPr>
          <w:p>
            <w:pPr>
              <w:spacing w:before="0" w:beforeAutospacing="0" w:after="0" w:line="240" w:lineRule="auto"/>
              <w:rPr>
                <w:rFonts w:ascii="Arial" w:hAnsi="Arial" w:eastAsia="SimSun" w:cs="Arial"/>
                <w:color w:val="00000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gridAfter w:val="1"/>
          <w:wAfter w:w="767" w:type="dxa"/>
          <w:cantSplit/>
        </w:trPr>
        <w:tc>
          <w:tcPr>
            <w:tcW w:w="3683" w:type="dxa"/>
            <w:tcBorders>
              <w:top w:val="single" w:color="000000" w:sz="18" w:space="0"/>
              <w:left w:val="nil"/>
              <w:bottom w:val="nil"/>
              <w:right w:val="single" w:color="000000" w:sz="18" w:space="0"/>
            </w:tcBorders>
            <w:shd w:val="clear" w:color="auto" w:fill="FFFFFF"/>
            <w:tcMar>
              <w:top w:w="30" w:type="dxa"/>
              <w:left w:w="30" w:type="dxa"/>
              <w:bottom w:w="30" w:type="dxa"/>
              <w:right w:w="30" w:type="dxa"/>
            </w:tcMar>
          </w:tcPr>
          <w:p>
            <w:pPr>
              <w:autoSpaceDE w:val="0"/>
              <w:autoSpaceDN w:val="0"/>
              <w:adjustRightInd w:val="0"/>
              <w:spacing w:after="0" w:line="240" w:lineRule="auto"/>
              <w:rPr>
                <w:rFonts w:ascii="Arial" w:hAnsi="Arial" w:eastAsia="SimSun" w:cs="Arial"/>
                <w:color w:val="000000"/>
                <w:sz w:val="24"/>
                <w:szCs w:val="24"/>
              </w:rPr>
            </w:pPr>
            <w:r>
              <w:rPr>
                <w:rFonts w:ascii="Arial" w:hAnsi="Arial" w:eastAsia="SimSun" w:cs="Arial"/>
                <w:color w:val="000000"/>
                <w:sz w:val="24"/>
                <w:szCs w:val="24"/>
              </w:rPr>
              <w:t>PreFormula 1 - PostFormula 1</w:t>
            </w:r>
          </w:p>
        </w:tc>
        <w:tc>
          <w:tcPr>
            <w:tcW w:w="1407" w:type="dxa"/>
            <w:tcBorders>
              <w:top w:val="single" w:color="000000" w:sz="18" w:space="0"/>
              <w:left w:val="nil"/>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6.1000</w:t>
            </w:r>
          </w:p>
        </w:tc>
        <w:tc>
          <w:tcPr>
            <w:tcW w:w="1850" w:type="dxa"/>
            <w:tcBorders>
              <w:top w:val="single" w:color="000000" w:sz="18" w:space="0"/>
              <w:left w:val="single" w:color="000000" w:sz="8" w:space="0"/>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3.9001</w:t>
            </w:r>
          </w:p>
        </w:tc>
        <w:tc>
          <w:tcPr>
            <w:tcW w:w="993" w:type="dxa"/>
            <w:tcBorders>
              <w:top w:val="single" w:color="000000" w:sz="18" w:space="0"/>
              <w:left w:val="single" w:color="000000" w:sz="8" w:space="0"/>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4.946</w:t>
            </w:r>
          </w:p>
        </w:tc>
        <w:tc>
          <w:tcPr>
            <w:tcW w:w="708" w:type="dxa"/>
            <w:tcBorders>
              <w:top w:val="single" w:color="000000" w:sz="18" w:space="0"/>
              <w:left w:val="single" w:color="000000" w:sz="8" w:space="0"/>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9</w:t>
            </w:r>
          </w:p>
        </w:tc>
        <w:tc>
          <w:tcPr>
            <w:tcW w:w="940" w:type="dxa"/>
            <w:tcBorders>
              <w:top w:val="single" w:color="000000" w:sz="18" w:space="0"/>
              <w:left w:val="single" w:color="000000" w:sz="8" w:space="0"/>
              <w:bottom w:val="nil"/>
              <w:right w:val="single" w:color="000000" w:sz="1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.001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gridAfter w:val="1"/>
          <w:wAfter w:w="767" w:type="dxa"/>
          <w:cantSplit/>
        </w:trPr>
        <w:tc>
          <w:tcPr>
            <w:tcW w:w="3683" w:type="dxa"/>
            <w:tcBorders>
              <w:top w:val="nil"/>
              <w:left w:val="nil"/>
              <w:bottom w:val="nil"/>
              <w:right w:val="single" w:color="000000" w:sz="18" w:space="0"/>
            </w:tcBorders>
            <w:shd w:val="clear" w:color="auto" w:fill="FFFFFF"/>
            <w:tcMar>
              <w:top w:w="30" w:type="dxa"/>
              <w:left w:w="30" w:type="dxa"/>
              <w:bottom w:w="30" w:type="dxa"/>
              <w:right w:w="30" w:type="dxa"/>
            </w:tcMar>
          </w:tcPr>
          <w:p>
            <w:pPr>
              <w:autoSpaceDE w:val="0"/>
              <w:autoSpaceDN w:val="0"/>
              <w:adjustRightInd w:val="0"/>
              <w:spacing w:after="0" w:line="240" w:lineRule="auto"/>
              <w:rPr>
                <w:rFonts w:ascii="Arial" w:hAnsi="Arial" w:eastAsia="SimSun" w:cs="Arial"/>
                <w:color w:val="000000"/>
                <w:sz w:val="24"/>
                <w:szCs w:val="24"/>
              </w:rPr>
            </w:pPr>
            <w:r>
              <w:rPr>
                <w:rFonts w:ascii="Arial" w:hAnsi="Arial" w:eastAsia="SimSun" w:cs="Arial"/>
                <w:color w:val="000000"/>
                <w:sz w:val="24"/>
                <w:szCs w:val="24"/>
              </w:rPr>
              <w:t>PreFormula 2 - PostFormula 2</w:t>
            </w:r>
          </w:p>
        </w:tc>
        <w:tc>
          <w:tcPr>
            <w:tcW w:w="1407" w:type="dxa"/>
            <w:tcBorders>
              <w:top w:val="nil"/>
              <w:left w:val="nil"/>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.6000</w:t>
            </w:r>
          </w:p>
        </w:tc>
        <w:tc>
          <w:tcPr>
            <w:tcW w:w="1850" w:type="dxa"/>
            <w:tcBorders>
              <w:top w:val="nil"/>
              <w:left w:val="single" w:color="000000" w:sz="8" w:space="0"/>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3.3731</w:t>
            </w:r>
          </w:p>
        </w:tc>
        <w:tc>
          <w:tcPr>
            <w:tcW w:w="993" w:type="dxa"/>
            <w:tcBorders>
              <w:top w:val="nil"/>
              <w:left w:val="single" w:color="000000" w:sz="8" w:space="0"/>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.562</w:t>
            </w:r>
          </w:p>
        </w:tc>
        <w:tc>
          <w:tcPr>
            <w:tcW w:w="708" w:type="dxa"/>
            <w:tcBorders>
              <w:top w:val="nil"/>
              <w:left w:val="single" w:color="000000" w:sz="8" w:space="0"/>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9</w:t>
            </w:r>
          </w:p>
        </w:tc>
        <w:tc>
          <w:tcPr>
            <w:tcW w:w="940" w:type="dxa"/>
            <w:tcBorders>
              <w:top w:val="nil"/>
              <w:left w:val="single" w:color="000000" w:sz="8" w:space="0"/>
              <w:bottom w:val="nil"/>
              <w:right w:val="single" w:color="000000" w:sz="1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.588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gridAfter w:val="1"/>
          <w:wAfter w:w="767" w:type="dxa"/>
          <w:cantSplit/>
        </w:trPr>
        <w:tc>
          <w:tcPr>
            <w:tcW w:w="3683" w:type="dxa"/>
            <w:tcBorders>
              <w:top w:val="nil"/>
              <w:left w:val="nil"/>
              <w:bottom w:val="nil"/>
              <w:right w:val="single" w:color="000000" w:sz="18" w:space="0"/>
            </w:tcBorders>
            <w:shd w:val="clear" w:color="auto" w:fill="FFFFFF"/>
            <w:tcMar>
              <w:top w:w="30" w:type="dxa"/>
              <w:left w:w="30" w:type="dxa"/>
              <w:bottom w:w="30" w:type="dxa"/>
              <w:right w:w="30" w:type="dxa"/>
            </w:tcMar>
          </w:tcPr>
          <w:p>
            <w:pPr>
              <w:autoSpaceDE w:val="0"/>
              <w:autoSpaceDN w:val="0"/>
              <w:adjustRightInd w:val="0"/>
              <w:spacing w:after="0" w:line="240" w:lineRule="auto"/>
              <w:rPr>
                <w:rFonts w:ascii="Arial" w:hAnsi="Arial" w:eastAsia="SimSun" w:cs="Arial"/>
                <w:color w:val="000000"/>
                <w:sz w:val="24"/>
                <w:szCs w:val="24"/>
              </w:rPr>
            </w:pPr>
            <w:r>
              <w:rPr>
                <w:rFonts w:ascii="Arial" w:hAnsi="Arial" w:eastAsia="SimSun" w:cs="Arial"/>
                <w:color w:val="000000"/>
                <w:sz w:val="24"/>
                <w:szCs w:val="24"/>
              </w:rPr>
              <w:t>PreFormula 3 - PostFormula 3</w:t>
            </w:r>
          </w:p>
        </w:tc>
        <w:tc>
          <w:tcPr>
            <w:tcW w:w="1407" w:type="dxa"/>
            <w:tcBorders>
              <w:top w:val="nil"/>
              <w:left w:val="nil"/>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2.3000</w:t>
            </w:r>
          </w:p>
        </w:tc>
        <w:tc>
          <w:tcPr>
            <w:tcW w:w="1850" w:type="dxa"/>
            <w:tcBorders>
              <w:top w:val="nil"/>
              <w:left w:val="single" w:color="000000" w:sz="8" w:space="0"/>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4.0565</w:t>
            </w:r>
          </w:p>
        </w:tc>
        <w:tc>
          <w:tcPr>
            <w:tcW w:w="993" w:type="dxa"/>
            <w:tcBorders>
              <w:top w:val="nil"/>
              <w:left w:val="single" w:color="000000" w:sz="8" w:space="0"/>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1.793</w:t>
            </w:r>
          </w:p>
        </w:tc>
        <w:tc>
          <w:tcPr>
            <w:tcW w:w="708" w:type="dxa"/>
            <w:tcBorders>
              <w:top w:val="nil"/>
              <w:left w:val="single" w:color="000000" w:sz="8" w:space="0"/>
              <w:bottom w:val="nil"/>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9</w:t>
            </w:r>
          </w:p>
        </w:tc>
        <w:tc>
          <w:tcPr>
            <w:tcW w:w="940" w:type="dxa"/>
            <w:tcBorders>
              <w:top w:val="nil"/>
              <w:left w:val="single" w:color="000000" w:sz="8" w:space="0"/>
              <w:bottom w:val="nil"/>
              <w:right w:val="single" w:color="000000" w:sz="1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.107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gridAfter w:val="1"/>
          <w:wAfter w:w="767" w:type="dxa"/>
          <w:cantSplit/>
          <w:trHeight w:val="90" w:hRule="atLeast"/>
        </w:trPr>
        <w:tc>
          <w:tcPr>
            <w:tcW w:w="3683" w:type="dxa"/>
            <w:tcBorders>
              <w:top w:val="nil"/>
              <w:left w:val="nil"/>
              <w:bottom w:val="single" w:color="000000" w:sz="18" w:space="0"/>
              <w:right w:val="single" w:color="000000" w:sz="18" w:space="0"/>
            </w:tcBorders>
            <w:shd w:val="clear" w:color="auto" w:fill="FFFFFF"/>
            <w:tcMar>
              <w:top w:w="30" w:type="dxa"/>
              <w:left w:w="30" w:type="dxa"/>
              <w:bottom w:w="30" w:type="dxa"/>
              <w:right w:w="30" w:type="dxa"/>
            </w:tcMar>
          </w:tcPr>
          <w:p>
            <w:pPr>
              <w:autoSpaceDE w:val="0"/>
              <w:autoSpaceDN w:val="0"/>
              <w:adjustRightInd w:val="0"/>
              <w:spacing w:after="0" w:line="240" w:lineRule="auto"/>
              <w:rPr>
                <w:rFonts w:ascii="Arial" w:hAnsi="Arial" w:eastAsia="SimSun" w:cs="Arial"/>
                <w:color w:val="000000"/>
                <w:sz w:val="24"/>
                <w:szCs w:val="24"/>
              </w:rPr>
            </w:pPr>
            <w:r>
              <w:rPr>
                <w:rFonts w:ascii="Arial" w:hAnsi="Arial" w:eastAsia="SimSun" w:cs="Arial"/>
                <w:color w:val="000000"/>
                <w:sz w:val="24"/>
                <w:szCs w:val="24"/>
              </w:rPr>
              <w:t>Pre - PostNoInterv</w:t>
            </w:r>
          </w:p>
        </w:tc>
        <w:tc>
          <w:tcPr>
            <w:tcW w:w="1407" w:type="dxa"/>
            <w:tcBorders>
              <w:top w:val="nil"/>
              <w:left w:val="nil"/>
              <w:bottom w:val="single" w:color="000000" w:sz="18" w:space="0"/>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.6000</w:t>
            </w:r>
          </w:p>
        </w:tc>
        <w:tc>
          <w:tcPr>
            <w:tcW w:w="1850" w:type="dxa"/>
            <w:tcBorders>
              <w:top w:val="nil"/>
              <w:left w:val="single" w:color="000000" w:sz="8" w:space="0"/>
              <w:bottom w:val="single" w:color="000000" w:sz="18" w:space="0"/>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.6992</w:t>
            </w:r>
          </w:p>
        </w:tc>
        <w:tc>
          <w:tcPr>
            <w:tcW w:w="993" w:type="dxa"/>
            <w:tcBorders>
              <w:top w:val="nil"/>
              <w:left w:val="single" w:color="000000" w:sz="8" w:space="0"/>
              <w:bottom w:val="single" w:color="000000" w:sz="18" w:space="0"/>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2.714</w:t>
            </w:r>
          </w:p>
        </w:tc>
        <w:tc>
          <w:tcPr>
            <w:tcW w:w="708" w:type="dxa"/>
            <w:tcBorders>
              <w:top w:val="nil"/>
              <w:left w:val="single" w:color="000000" w:sz="8" w:space="0"/>
              <w:bottom w:val="single" w:color="000000" w:sz="18" w:space="0"/>
              <w:right w:val="single" w:color="000000" w:sz="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9</w:t>
            </w:r>
          </w:p>
        </w:tc>
        <w:tc>
          <w:tcPr>
            <w:tcW w:w="940" w:type="dxa"/>
            <w:tcBorders>
              <w:top w:val="nil"/>
              <w:left w:val="single" w:color="000000" w:sz="8" w:space="0"/>
              <w:bottom w:val="single" w:color="000000" w:sz="18" w:space="0"/>
              <w:right w:val="single" w:color="000000" w:sz="18" w:space="0"/>
            </w:tcBorders>
            <w:shd w:val="clear" w:color="auto" w:fill="FFFFFF"/>
            <w:tcMar>
              <w:top w:w="30" w:type="dxa"/>
              <w:left w:w="30" w:type="dxa"/>
              <w:bottom w:w="30" w:type="dxa"/>
              <w:right w:w="30" w:type="dxa"/>
            </w:tcMar>
          </w:tcPr>
          <w:p>
            <w:pPr>
              <w:autoSpaceDE w:val="0"/>
              <w:autoSpaceDN w:val="0"/>
              <w:adjustRightInd w:val="0"/>
              <w:spacing w:after="0" w:line="240" w:lineRule="auto"/>
              <w:jc w:val="right"/>
              <w:rPr>
                <w:rFonts w:ascii="Arial" w:hAnsi="Arial" w:eastAsia="SimSun" w:cs="Arial"/>
                <w:color w:val="000000"/>
                <w:sz w:val="24"/>
                <w:szCs w:val="24"/>
              </w:rPr>
            </w:pPr>
            <w:r>
              <w:rPr>
                <w:rFonts w:ascii="Arial" w:hAnsi="Arial" w:eastAsia="SimSun" w:cs="Arial"/>
                <w:color w:val="000000"/>
                <w:sz w:val="24"/>
                <w:szCs w:val="24"/>
              </w:rPr>
              <w:t>.024</w:t>
            </w:r>
          </w:p>
        </w:tc>
      </w:tr>
    </w:tbl>
    <w:p>
      <w:pPr>
        <w:spacing w:after="0" w:line="240" w:lineRule="auto"/>
        <w:jc w:val="both"/>
        <w:rPr>
          <w:rFonts w:ascii="Arial" w:hAnsi="Arial" w:cs="Arial"/>
          <w:b/>
          <w:bCs/>
          <w:sz w:val="24"/>
          <w:szCs w:val="24"/>
        </w:rPr>
      </w:pPr>
      <w:r>
        <w:rPr>
          <w:rFonts w:ascii="Arial" w:hAnsi="Arial" w:cs="Arial"/>
          <w:b/>
          <w:bCs/>
          <w:sz w:val="24"/>
          <w:szCs w:val="24"/>
        </w:rPr>
        <w:t>DISCUSSION</w:t>
      </w:r>
    </w:p>
    <w:p>
      <w:pPr>
        <w:spacing w:line="240" w:lineRule="auto"/>
        <w:ind w:firstLine="720"/>
        <w:jc w:val="both"/>
        <w:rPr>
          <w:rFonts w:ascii="Arial" w:hAnsi="Arial" w:cs="Arial"/>
          <w:sz w:val="24"/>
          <w:szCs w:val="24"/>
        </w:rPr>
      </w:pPr>
      <w:r>
        <w:rPr>
          <w:rFonts w:ascii="Arial" w:hAnsi="Arial" w:cs="Arial"/>
          <w:sz w:val="24"/>
          <w:szCs w:val="24"/>
        </w:rPr>
        <w:t>The results showed that most pregnant womens felt nausea and vomiting. The level of nausea felt by mothers varies. In this study, most of the mothers experienced moderate to severe nausea and vomiting. Factors that influence nausea and vomiting in pregnant women, namely pregnancy status, namely primigravida and work status of housewives</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{"citationItems":[{"id":"ITEM-1","itemData":{"DOI":"10.1093/oxfordjournals.aje.a114831","ISSN":"0002-9262 (Print)","PMID":"3341360","abstract":"The role of maternal risk factors in the development of nausea and vomiting in  pregnancy was studied in a historical cohort of 825 women who gave birth at the University of California (Los Angeles) Medical Center during a one-year period (April 1983-March 1984). The roles of demographic factors, reproductive history, and consumption of alcohol and tobacco in affecting the risk of developing nausea and vomiting were studied using both bivariate and multivariate statistical methods. Interpretations of the statistical analyses identify three risk factor associations correlated with decreased risk of nausea and vomiting and one factor associated with increased risk. The most apparent pattern was that women who were ethnically white, of white collar or professional occupation, and who consumed alcohol prior to conception, were at decreased risk for nausea and vomiting. The second pattern of decreased risk consisted of women over 35 years old with a history of infertility for one or more years prior to the current conception. The third low-risk pattern consisted of women without a history of nausea during prior pregnancies. The only factor associated with an increased risk was housewife occupational status. The results of this study are consistent with an endocrinologic model for the etiology of pregnancy-induced nausea and vomiting.","author":[{"dropping-particle":"","family":"Weigel","given":"M M","non-dropping-particle":"","parse-names":false,"suffix":""},{"dropping-particle":"","family":"Weigel","given":"R M","non-dropping-particle":"","parse-names":false,"suffix":""}],"container-title":"American journal of epidemiology","id":"ITEM-1","issue":"3","issued":{"date-parts":[["1988","3"]]},"language":"eng","page":"562-570","publisher-place":"United States","title":"The association of reproductive history, demographic factors, and alcohol and  tobacco consumption with the risk of developing nausea and vomiting in early pregnancy.","type":"article-journal","volume":"127"},"uris":["http://www.mendeley.com/documents/?uuid=751107f9-0c98-4fb8-8732-24efa9ed82e6"]}],"mendeley":{"formattedCitation":"(10)","plainTextFormattedCitation":"(10)","previouslyFormattedCitation":"(9)"},"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(10)</w:t>
      </w:r>
      <w:r>
        <w:rPr>
          <w:rFonts w:ascii="Arial" w:hAnsi="Arial" w:cs="Arial"/>
          <w:sz w:val="24"/>
          <w:szCs w:val="24"/>
        </w:rPr>
        <w:fldChar w:fldCharType="end"/>
      </w:r>
      <w:r>
        <w:rPr>
          <w:rFonts w:ascii="Arial" w:hAnsi="Arial" w:cs="Arial"/>
          <w:sz w:val="24"/>
          <w:szCs w:val="24"/>
        </w:rPr>
        <w:t xml:space="preserve">, whereas for the mother’s education level did not affect the incidence of nausea and vomiting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{"citationItems":[{"id":"ITEM-1","itemData":{"DOI":"10.1097/00005237-200410000-00002","ISSN":"0893-2190 (Print)","PMID":"15646303","abstract":"This article is a review of the incidence, characteristics, risk factors,  proposed causes, outcomes, treatment and nursing management of nausea and vomiting of pregnancy. Despite the fact that it affects most pregnant women to some degree, it is poorly understood and often poorly treated. Specific suggestions for therapeutic interventions are outlined.","author":[{"dropping-particle":"","family":"Davis","given":"Mitzi","non-dropping-particle":"","parse-names":false,"suffix":""}],"container-title":"The Journal of perinatal &amp; neonatal nursing","id":"ITEM-1","issue":"4","issued":{"date-parts":[["2004"]]},"language":"eng","page":"312-328","publisher-place":"United States","title":"Nausea and vomiting of pregnancy: an evidence-based review.","type":"article-journal","volume":"18"},"uris":["http://www.mendeley.com/documents/?uuid=17bd0a01-1042-499f-909b-a7175b3de17e"]}],"mendeley":{"formattedCitation":"(11)","plainTextFormattedCitation":"(11)","previouslyFormattedCitation":"(10)"},"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(11)</w:t>
      </w:r>
      <w:r>
        <w:rPr>
          <w:rFonts w:ascii="Arial" w:hAnsi="Arial" w:cs="Arial"/>
          <w:sz w:val="24"/>
          <w:szCs w:val="24"/>
        </w:rPr>
        <w:fldChar w:fldCharType="end"/>
      </w:r>
      <w:r>
        <w:rPr>
          <w:rFonts w:ascii="Arial" w:hAnsi="Arial" w:cs="Arial"/>
          <w:sz w:val="24"/>
          <w:szCs w:val="24"/>
        </w:rPr>
        <w:t xml:space="preserve">. Employment status is not yet clear because it is possible for the mother not to work after experiencing nausea and vomiting. Nausea and vomiting that occurs in pregnant women can be felt by mothers for a long time influenced by several things including mothers who are not working, teenage age, lack of activity, lack of exercise, often drinking cold, history of gastrointestinal pain </w:t>
      </w:r>
      <w:r>
        <w:rPr>
          <w:rFonts w:ascii="Arial" w:hAnsi="Arial" w:eastAsia="Times-Roman" w:cs="Arial"/>
          <w:color w:val="000000"/>
          <w:sz w:val="24"/>
          <w:szCs w:val="24"/>
          <w:lang w:eastAsia="zh-CN"/>
        </w:rPr>
        <w:t xml:space="preserve"> </w:t>
      </w:r>
      <w:r>
        <w:rPr>
          <w:rFonts w:ascii="Arial" w:hAnsi="Arial" w:eastAsia="Times-Roman" w:cs="Arial"/>
          <w:color w:val="000000"/>
          <w:sz w:val="24"/>
          <w:szCs w:val="24"/>
          <w:lang w:eastAsia="zh-CN"/>
        </w:rPr>
        <w:fldChar w:fldCharType="begin" w:fldLock="1"/>
      </w:r>
      <w:r>
        <w:rPr>
          <w:rFonts w:ascii="Arial" w:hAnsi="Arial" w:eastAsia="Times-Roman" w:cs="Arial"/>
          <w:color w:val="000000"/>
          <w:sz w:val="24"/>
          <w:szCs w:val="24"/>
          <w:lang w:eastAsia="zh-CN"/>
        </w:rPr>
        <w:instrText xml:space="preserve">ADDIN CSL_CITATION {"citationItems":[{"id":"ITEM-1","itemData":{"DOI":"10.2147/RMHP.S273791","ISSN":"11791594","abstract":"Background: Determination of the risk factors associated with prolonged nausea and vomiting during pregnancy (NVP) helps to develop prevention strategies. However, there is a lack of studies regarding risk factors of prolonged NVP. Thus, the potential risk factors of prolonged moderate and severe NVP were examined. Methods: This is a retrospective study among pregnant women in South of China. The Pregnancy-Unique Quantification of Emesis (PUQE) scale was used to evaluate NVP. Onset before 12 weeks and persistence after 20 weeks of gestation were defined as prolonged NVP. Data on NVP and other variables were collected by standard questionnaires and medical records. Results: A finally sample of 1739 participants were analyzed. The incidence of prolonged moderate and severe NVP was 42.1% and 1.1%, respectively. Among those with NVP, the increased risk of prolonged moderate NVP was associated with lower gestational age (OR = 0.95 per SD increase, 95% CI=0.93–0.97), being a housewife (OR = 1.30, 95% CI=1.02– 1.65), pre-pregnant longer sedentary time (OR = 2.02, 95% CI=1.16–1.83), pre-pregnant lower exercise frequency (OR = 1.84, 95% CI=1.20–2.82), and history of gastrointestinal (GI) diseases (OR = 2.21, 95% CI=1.61–3.03). Persons who were a housewife (OR = 6.39, 95% CI=1.90–21.47), with pre-pregnant high frequent (always) cold drinking (OR=11.12, 95% CI=1.24–100.73), and had a history of GI diseases (OR=10.10, 95% CI=2.63–38.86) were more likely to experience prolonged severe NVP. Conclusion: The results of the present study suggested that pregnant women unemployed, with lower gestational age, pre-pregnant longer sedentary time, less exercise, high frequent (always) cold drinking and history of GI diseases had a higher risk of prolonged NVP and should be taken more care.","author":[{"dropping-particle":"","family":"GZhang","given":"Huishan","non-dropping-particle":"","parse-names":false,"suffix":""},{"dropping-particle":"","family":"Wu","given":"Shuzhen","non-dropping-particle":"","parse-names":false,"suffix":""},{"dropping-particle":"","family":"Feng","given":"Jinping","non-dropping-particle":"","parse-names":false,"suffix":""},{"dropping-particle":"","family":"Liu","given":"Zhengping","non-dropping-particle":"","parse-names":false,"suffix":""}],"container-title":"Risk Management and Healthcare Policy","id":"ITEM-1","issued":{"date-parts":[["2020"]]},"page":"2645-2654","title":"Risk factors of prolonged nausea and vomiting during pregnancy","type":"article-journal","volume":"13"},"uris":["http://www.mendeley.com/documents/?uuid=230c792b-f585-4c24-95a3-4e01c870976a"]}],"mendeley":{"formattedCitation":"(12)","plainTextFormattedCitation":"(12)","previouslyFormattedCitation":"(11)"},"properties":{"noteIndex":0},"schema":"https://github.com/citation-style-language/schema/raw/master/csl-citation.json"}</w:instrText>
      </w:r>
      <w:r>
        <w:rPr>
          <w:rFonts w:ascii="Arial" w:hAnsi="Arial" w:eastAsia="Times-Roman" w:cs="Arial"/>
          <w:color w:val="000000"/>
          <w:sz w:val="24"/>
          <w:szCs w:val="24"/>
          <w:lang w:eastAsia="zh-CN"/>
        </w:rPr>
        <w:fldChar w:fldCharType="separate"/>
      </w:r>
      <w:r>
        <w:rPr>
          <w:rFonts w:ascii="Arial" w:hAnsi="Arial" w:eastAsia="Times-Roman" w:cs="Arial"/>
          <w:color w:val="000000"/>
          <w:sz w:val="24"/>
          <w:szCs w:val="24"/>
          <w:lang w:eastAsia="zh-CN"/>
        </w:rPr>
        <w:t>(12)</w:t>
      </w:r>
      <w:r>
        <w:rPr>
          <w:rFonts w:ascii="Arial" w:hAnsi="Arial" w:eastAsia="Times-Roman" w:cs="Arial"/>
          <w:color w:val="000000"/>
          <w:sz w:val="24"/>
          <w:szCs w:val="24"/>
          <w:lang w:eastAsia="zh-CN"/>
        </w:rPr>
        <w:fldChar w:fldCharType="end"/>
      </w:r>
      <w:r>
        <w:rPr>
          <w:rFonts w:ascii="Arial" w:hAnsi="Arial" w:eastAsia="Times-Roman" w:cs="Arial"/>
          <w:color w:val="000000"/>
          <w:sz w:val="24"/>
          <w:szCs w:val="24"/>
          <w:lang w:eastAsia="zh-CN"/>
        </w:rPr>
        <w:t xml:space="preserve">. Medicinal methods of prevention and treatment include nutritional suppelements and altenative methods, such as hypnosis and acupuncture, as well as pharmacotherapy </w:t>
      </w:r>
      <w:r>
        <w:rPr>
          <w:rFonts w:ascii="Arial" w:hAnsi="Arial" w:eastAsia="Times-Roman" w:cs="Arial"/>
          <w:color w:val="000000"/>
          <w:sz w:val="24"/>
          <w:szCs w:val="24"/>
          <w:lang w:eastAsia="zh-CN"/>
        </w:rPr>
        <w:fldChar w:fldCharType="begin" w:fldLock="1"/>
      </w:r>
      <w:r>
        <w:rPr>
          <w:rFonts w:ascii="Arial" w:hAnsi="Arial" w:eastAsia="Times-Roman" w:cs="Arial"/>
          <w:color w:val="000000"/>
          <w:sz w:val="24"/>
          <w:szCs w:val="24"/>
          <w:lang w:eastAsia="zh-CN"/>
        </w:rPr>
        <w:instrText xml:space="preserve">ADDIN CSL_CITATION {"citationItems":[{"id":"ITEM-1","itemData":{"DOI":"10.3909/riog0176)","ISSN":"00071447","PMID":"22866186","author":[{"dropping-particle":"DO","family":"Wegrzyniak","given":"Lindsey J.","non-dropping-particle":"","parse-names":false,"suffix":""},{"dropping-particle":"","family":"John T.Repke","given":"MD","non-dropping-particle":"","parse-names":false,"suffix":""},{"dropping-particle":"","family":"Serdar H. Ural","given":"MD","non-dropping-particle":"","parse-names":false,"suffix":""}],"id":"ITEM-1","issued":{"date-parts":[["2012"]]},"page":"78-84","title":"Treatment of hyperemesis gravidarum","type":"article-journal","volume":"2"},"uris":["http://www.mendeley.com/documents/?uuid=b7b56ca5-9edc-4f9b-bd05-42ccabbf35f2"]}],"mendeley":{"formattedCitation":"(3)","plainTextFormattedCitation":"(3)","previouslyFormattedCitation":"(3)"},"properties":{"noteIndex":0},"schema":"https://github.com/citation-style-language/schema/raw/master/csl-citation.json"}</w:instrText>
      </w:r>
      <w:r>
        <w:rPr>
          <w:rFonts w:ascii="Arial" w:hAnsi="Arial" w:eastAsia="Times-Roman" w:cs="Arial"/>
          <w:color w:val="000000"/>
          <w:sz w:val="24"/>
          <w:szCs w:val="24"/>
          <w:lang w:eastAsia="zh-CN"/>
        </w:rPr>
        <w:fldChar w:fldCharType="separate"/>
      </w:r>
      <w:r>
        <w:rPr>
          <w:rFonts w:ascii="Arial" w:hAnsi="Arial" w:eastAsia="Times-Roman" w:cs="Arial"/>
          <w:color w:val="000000"/>
          <w:sz w:val="24"/>
          <w:szCs w:val="24"/>
          <w:lang w:eastAsia="zh-CN"/>
        </w:rPr>
        <w:t>(3)</w:t>
      </w:r>
      <w:r>
        <w:rPr>
          <w:rFonts w:ascii="Arial" w:hAnsi="Arial" w:eastAsia="Times-Roman" w:cs="Arial"/>
          <w:color w:val="000000"/>
          <w:sz w:val="24"/>
          <w:szCs w:val="24"/>
          <w:lang w:eastAsia="zh-CN"/>
        </w:rPr>
        <w:fldChar w:fldCharType="end"/>
      </w:r>
      <w:r>
        <w:rPr>
          <w:rFonts w:ascii="Arial" w:hAnsi="Arial" w:eastAsia="Times-Roman" w:cs="Arial"/>
          <w:color w:val="000000"/>
          <w:sz w:val="24"/>
          <w:szCs w:val="24"/>
          <w:lang w:eastAsia="zh-CN"/>
        </w:rPr>
        <w:t xml:space="preserve">. Most of the therapy received by pregnant women with nausea and vomiting is pharmacological therapy, namely by using vitamin B6 and it is necessary to develop non-pharmacological therapies to relieve nausea and vomiting in pregnant women </w:t>
      </w:r>
      <w:r>
        <w:rPr>
          <w:rFonts w:ascii="Arial" w:hAnsi="Arial" w:eastAsia="Times-Roman" w:cs="Arial"/>
          <w:color w:val="000000"/>
          <w:sz w:val="24"/>
          <w:szCs w:val="24"/>
          <w:lang w:eastAsia="zh-CN"/>
        </w:rPr>
        <w:fldChar w:fldCharType="begin" w:fldLock="1"/>
      </w:r>
      <w:r>
        <w:rPr>
          <w:rFonts w:ascii="Arial" w:hAnsi="Arial" w:eastAsia="Times-Roman" w:cs="Arial"/>
          <w:color w:val="000000"/>
          <w:sz w:val="24"/>
          <w:szCs w:val="24"/>
          <w:lang w:eastAsia="zh-CN"/>
        </w:rPr>
        <w:instrText xml:space="preserve">ADDIN CSL_CITATION {"citationItems":[{"id":"ITEM-1","itemData":{"abstract":"Mual dan muntah pada ibu hamil atau yang disebut dengan nausea and vomiting in pregnancy (NVP) adalah salah satu penyebab tingginya angka morbiditas ibu hamil yang hingga saat ini belum diketahui terapi definitifnya. NVP dengan manifestasi gejala yang berat disebut dengan Hiperemesis Gravidarum (HG). Penelitian ini bertujuan untuk mengetahui pola pengobatan NVP oleh praktisi kesehatan di kota Denpasar. Penelitian bertempat di praktek dokter spesialis obstetri dan ginekologi dan bidan di kota Denpasar yang dipilih secara simple random sampling. Populasi adalah seluruh ibu hamil dengan NVP yang berkunjung ke praktek swasta dokter spesialis obstetri dan ginekologi dan bidan di kota Denpasar dalam jangka waktu Januari-Mei 2014. Rancangan yang digunakan adalah studi cross-sectional dengan pemilihan sampel secara total sampling dan digunakan sampel sejumlah 88 ibu hamil. Data dikumpulkan dari rekam medis pasien dan dipindahkan ke formulir penelitian. Data yang didapatkan dianalisis lebih lanjut secara deskriptif. Secara umum didapatkan proporsi pemberian farmakoterapi kepada pasien NVP lebih tinggi (70,5%) dibandingkan non-farmakoterapi (29,5%) dengan seluruh pasien HG diberikan farmakoterapi. Jenis farmakoterapi yang paling dominan dipilih secara umum adalah vitamin B6 (56,5%). Dokter spesialis obstetri dan ginekologi dominan memilih inhibitor serotonin dan bidan dominan memilih vitamin B6. Dapat disimpulkan bahwa farmakoterapi merupakan pilihan dominan dalam terapi NVP dengan vitamin B6 yang mendominasi. Seluruh pasien HG mendapatkan farmakoterapi. Disarankan untuk melakukan penelitian lebih lanjut lagi dengan jangka waktu dan tempat penelitian yang lebih banyak untuk mengetahui kondisi terapi NVP di lapangan dan pilihan farmakoterapi para praktisi kesehatan untuk menangani NVP.","author":[{"dropping-particle":"","family":"Widiasari","given":"Ni Putu Ayu","non-dropping-particle":"","parse-names":false,"suffix":""},{"dropping-particle":"","family":"Trapika","given":"I Gusti Made Surya Chandra","non-dropping-particle":"","parse-names":false,"suffix":""}],"container-title":"E-Jurnal Medika","id":"ITEM-1","issue":"5","issued":{"date-parts":[["2017"]]},"page":"28-35","title":"Pola Pemberian Terapi Mual dan Muntah pada Ibu Hamil oleh Doktter Spesialis Obstetri dan Ginekologi serta Bidan di Kota Denpasar","type":"article-journal","volume":"6"},"uris":["http://www.mendeley.com/documents/?uuid=4157cb13-342b-4f84-91ba-e128db12608b"]}],"mendeley":{"formattedCitation":"(2)","plainTextFormattedCitation":"(2)","previouslyFormattedCitation":"(2)"},"properties":{"noteIndex":0},"schema":"https://github.com/citation-style-language/schema/raw/master/csl-citation.json"}</w:instrText>
      </w:r>
      <w:r>
        <w:rPr>
          <w:rFonts w:ascii="Arial" w:hAnsi="Arial" w:eastAsia="Times-Roman" w:cs="Arial"/>
          <w:color w:val="000000"/>
          <w:sz w:val="24"/>
          <w:szCs w:val="24"/>
          <w:lang w:eastAsia="zh-CN"/>
        </w:rPr>
        <w:fldChar w:fldCharType="separate"/>
      </w:r>
      <w:r>
        <w:rPr>
          <w:rFonts w:ascii="Arial" w:hAnsi="Arial" w:eastAsia="Times-Roman" w:cs="Arial"/>
          <w:color w:val="000000"/>
          <w:sz w:val="24"/>
          <w:szCs w:val="24"/>
          <w:lang w:eastAsia="zh-CN"/>
        </w:rPr>
        <w:t>(2)</w:t>
      </w:r>
      <w:r>
        <w:rPr>
          <w:rFonts w:ascii="Arial" w:hAnsi="Arial" w:eastAsia="Times-Roman" w:cs="Arial"/>
          <w:color w:val="000000"/>
          <w:sz w:val="24"/>
          <w:szCs w:val="24"/>
          <w:lang w:eastAsia="zh-CN"/>
        </w:rPr>
        <w:fldChar w:fldCharType="end"/>
      </w:r>
      <w:r>
        <w:rPr>
          <w:rFonts w:ascii="Arial" w:hAnsi="Arial" w:eastAsia="Times-Roman" w:cs="Arial"/>
          <w:color w:val="000000"/>
          <w:sz w:val="24"/>
          <w:szCs w:val="24"/>
          <w:lang w:eastAsia="zh-CN"/>
        </w:rPr>
        <w:t xml:space="preserve">. </w:t>
      </w:r>
    </w:p>
    <w:p>
      <w:pPr>
        <w:spacing w:line="240" w:lineRule="auto"/>
        <w:ind w:firstLine="720"/>
        <w:jc w:val="both"/>
        <w:rPr>
          <w:rFonts w:ascii="Arial" w:hAnsi="Arial" w:cs="Arial"/>
          <w:sz w:val="24"/>
          <w:szCs w:val="24"/>
        </w:rPr>
      </w:pPr>
      <w:r>
        <w:rPr>
          <w:rFonts w:ascii="Arial" w:hAnsi="Arial" w:cs="Arial"/>
          <w:sz w:val="24"/>
          <w:szCs w:val="24"/>
        </w:rPr>
        <w:t xml:space="preserve">Researchers do not recommend pepperlav aromatherapy with patchouli oil base note because some of the hedonic test respondents did not like the formulation. Respondents felt a very strong and pungent aroma when inhaling pepperlav aromatherapy. This is in accordance with the theory put forward by that patchouli oil is to strengthen the aroma of an aromatherapy formulation karena mengandung 40-60% alcohol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{"citationItems":[{"id":"ITEM-1","itemData":{"DOI":"10.17969/rtp.v12i2.14612","ISSN":"2085-2614","abstract":"Abstrak. Aromaterapi adalah suatu bentuk terapi atau pengobatan menggunakan bahan tanaman volatil, yang bertujuan untuk mengatur fungsi kognitif, mood, dan kesehatan. Tanaman volatil dikenal juga minyak atsiri. Minyak atsiri biasa diperoleh dari tanaman dengan berbagai cara yang berbeda-beda seperti ekstraksi, penyulingan dan distilasi fraksinasi.  Salah satu minyak atsiri adalah minyak nilam. Kandungan minyak nilam yang utama yaitu patchouli alcohol (40-50%) digunakan sebagai bahan baku, bahan pencampur dan fixative (pengikat wangi-wangian) dalam industri parfum, kosmetik, dan obat-obatan. Pengembangan minyak atsiri sebagai aromaterapi perlu dilakukan sebagai upaya peningkatan pemanfaatan dari produk minyak atsiri. Komponen aroma dari minyak atsiri cepat berinteraksi saat dihirup. Penelitian ini dilakukan untuk mengukur aktifitas lokomotor pada mencit untuk melihat efek yang ditimbulkan setelah di inhalasi dengan minyak nilam. Hasil menunjukkan adanya penurunan aktifitas setelah diinhalasi dengan minyak nilam. Ini menunjukkan minyak nilam memberikan efek depresi sistem syaraf pusat terhadap mencit. Persentase penurunan aktifitas gerak terbesar pada dosis 0,5 ml.Development of Patchouli Oil as Aromatherapy and Its Potential as Medicinal ProductsAbstract. Aromatherapy is a form of therapy or treatment using material from a volatile plant, intended to regulate cognitive, mood, and health function. Volati is also known for essential oil. Essential oil is often obtained from plants in various ways such as extraction, distillation and distillation of fractures. One essential oil is patchouli oil. The primary patchouli oil content is alcohol (40-50%), which is used as a ingredient, mixative and fixative in the perfume, cosmetics, and drugs industry. Commercial loans grew by 14 percent to RPM from the same period last year. Essential oil scent components must interact quickly when inhaled. The study was done to measure the locomotive activities of er er er to see the effect that was caused after inhalation with patouli oil. Results indicate a decrease in activity following inhalation with sapphire oil. This suggests patchouli oil, giving a depressed effect of the central nervous system on chiming. It's the largest drop in activity at a 0.5 ml dose.","author":[{"dropping-particle":"","family":"Ermaya","given":"Dewi","non-dropping-particle":"","parse-names":false,"suffix":""},{"dropping-particle":"","family":"Patria","given":"Anshar","non-dropping-particle":"","parse-names":false,"suffix":""},{"dropping-particle":"","family":"Hidayat","given":"Fadlan","non-dropping-particle":"","parse-names":false,"suffix":""},{"dropping-particle":"","family":"Razi","given":"Fachrul","non-dropping-particle":"","parse-names":false,"suffix":""}],"container-title":"Rona Teknik Pertanian","id":"ITEM-1","issue":"2","issued":{"date-parts":[["2019"]]},"page":"58-63","title":"Pengembangan Minyak Nilam Sebagai Aromaterapi Dan Potensinya Sebagai Produk Obat","type":"article-journal","volume":"12"},"uris":["http://www.mendeley.com/documents/?uuid=784d7927-7e5a-4dd8-a720-5d793f83082b"]}],"mendeley":{"formattedCitation":"(13)","plainTextFormattedCitation":"(13)","previouslyFormattedCitation":"(12)"},"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(13)</w:t>
      </w:r>
      <w:r>
        <w:rPr>
          <w:rFonts w:ascii="Arial" w:hAnsi="Arial" w:cs="Arial"/>
          <w:sz w:val="24"/>
          <w:szCs w:val="24"/>
        </w:rPr>
        <w:fldChar w:fldCharType="end"/>
      </w:r>
      <w:r>
        <w:rPr>
          <w:rFonts w:ascii="Arial" w:hAnsi="Arial" w:cs="Arial"/>
          <w:sz w:val="24"/>
          <w:szCs w:val="24"/>
        </w:rPr>
        <w:t xml:space="preserve">. Based on the strong aroma, it can increase nausea and vomiting in pregnant women. The aroma of patchouli oil gives it a distinctive woody, sweet and spicy aroma. Most of the respondents liked the pepperlav aromatherapy formulation with a base note of VCO oil. This is because VCO does not have a stinging effect and VCO has often been used as a body moisturizer, aromatherapy carrier and hair conditione </w:t>
      </w:r>
      <w:r>
        <w:rPr>
          <w:rFonts w:ascii="Arial" w:hAnsi="Arial" w:cs="Arial"/>
          <w:sz w:val="24"/>
          <w:szCs w:val="24"/>
        </w:rPr>
        <w:fldChar w:fldCharType="begin" w:fldLock="1"/>
      </w:r>
      <w:r>
        <w:rPr>
          <w:rFonts w:ascii="Arial" w:hAnsi="Arial" w:cs="Arial"/>
          <w:sz w:val="24"/>
          <w:szCs w:val="24"/>
        </w:rPr>
        <w:instrText xml:space="preserve">ADDIN CSL_CITATION {"citationItems":[{"id":"ITEM-1","itemData":{"abstract":"… Fresh Coconuts Hydraulic Pressing of grated + chilled Coconuts Warm Water - Extraction with Hydraulic Press Wet Coconut Oil With Sludge impure Fibre … Part 1-Process for production of Virgin Coconut Oil and Low Fat High Protein Coco Flour from coconut kernel …","author":[{"dropping-particle":"","family":"Jayasekara","given":"C","non-dropping-particle":"","parse-names":false,"suffix":""},{"dropping-particle":"","family":"Gunathilake","given":"K","non-dropping-particle":"","parse-names":false,"suffix":""}],"container-title":"Proceedings of International …","id":"ITEM-1","issue":"August","issued":{"date-parts":[["2007"]]},"title":"Processing technologies for virgin coconut oil and coconut based Confectionaries and beverages","type":"article-journal"},"uris":["http://www.mendeley.com/documents/?uuid=9c5c49e9-7268-408c-878d-d64469efc8db"]}],"mendeley":{"formattedCitation":"(14)","plainTextFormattedCitation":"(14)","previouslyFormattedCitation":"(13)"},"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(14)</w:t>
      </w:r>
      <w:r>
        <w:rPr>
          <w:rFonts w:ascii="Arial" w:hAnsi="Arial" w:cs="Arial"/>
          <w:sz w:val="24"/>
          <w:szCs w:val="24"/>
        </w:rPr>
        <w:fldChar w:fldCharType="end"/>
      </w:r>
      <w:r>
        <w:rPr>
          <w:rFonts w:ascii="Arial" w:hAnsi="Arial" w:cs="Arial"/>
          <w:sz w:val="24"/>
          <w:szCs w:val="24"/>
        </w:rPr>
        <w:t xml:space="preserve">. VCO retains the aroma of a formulation for longer and reduced lipid peroxidation and increase the activity of SOD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{"citationItems":[{"id":"ITEM-1","itemData":{"DOI":"10.15254/H.J.D.Med.7.2015.149","abstract":"Coconut oil is an edible oil obtained from the kernel of harvested mature coconuts of the coconut palm .In recent years this oil has attained superstardom in the health food world. Celebrities are adopting its use, nutritionists advocating it, and patients acclaiming its many virtues. A number of health benefits have been attributed to this oil. These include benefits in skin care, hair care, stress relief, weight loss and cholesterol level maintenance, immunomodulatory effects, cardiovascular uses, and more recently in Alzheimer's disease .However for several years, coconut oil was demonized and consumers were made to believe that coconut oil is deleterious to health as it would block the arteries and cause heart disease. The tide has turned and in recent times recognition of the positive health effects of coconut oils have emerged stronger. The use of coconut oil, especially virgin coconut oil is in vogue, though some people still remain skeptical. This article attempts to scientifically review the therapeutic benefits of this oil.","author":[{"dropping-particle":"","family":"Shijna Kappally","given":"Arun Shirwaikar and Annie Shirwaikar*","non-dropping-particle":"","parse-names":false,"suffix":""}],"container-title":"Hygeia.J.D.Med","id":"ITEM-1","issue":"2","issued":{"date-parts":[["2015"]]},"page":"34-41","title":"a Review of Potential Applications","type":"article-journal","volume":"7"},"uris":["http://www.mendeley.com/documents/?uuid=d90c2941-7677-4c26-acc4-53f5da6bb26e"]}],"mendeley":{"formattedCitation":"(15)","plainTextFormattedCitation":"(15)","previouslyFormattedCitation":"(14)"},"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(15)</w:t>
      </w:r>
      <w:r>
        <w:rPr>
          <w:rFonts w:ascii="Arial" w:hAnsi="Arial" w:cs="Arial"/>
          <w:sz w:val="24"/>
          <w:szCs w:val="24"/>
        </w:rPr>
        <w:fldChar w:fldCharType="end"/>
      </w:r>
      <w:r>
        <w:rPr>
          <w:rFonts w:ascii="Arial" w:hAnsi="Arial" w:cs="Arial"/>
          <w:sz w:val="24"/>
          <w:szCs w:val="24"/>
        </w:rPr>
        <w:t xml:space="preserve">. The smell of VCO has often been felt by most people so that people are more likely to get used to it. Based on this, the pepperlav aromatherapy formulation with VCO oil based notes is preferred by pregnant women because it can be useful for suppressing nausea, increasing energy and reducing the sensation of fatigue </w:t>
      </w:r>
      <w:r>
        <w:rPr>
          <w:rFonts w:ascii="Arial" w:hAnsi="Arial" w:cs="Arial"/>
          <w:sz w:val="24"/>
          <w:szCs w:val="24"/>
        </w:rPr>
        <w:fldChar w:fldCharType="begin" w:fldLock="1"/>
      </w:r>
      <w:r>
        <w:rPr>
          <w:rFonts w:ascii="Arial" w:hAnsi="Arial" w:cs="Arial"/>
          <w:sz w:val="24"/>
          <w:szCs w:val="24"/>
        </w:rPr>
        <w:instrText xml:space="preserve">ADDIN CSL_CITATION {"citationItems":[{"id":"ITEM-1","itemData":{"abstract":"Nausea and vomiting during pregnancy negatively impacts family relationships and has major consequences on the pregnant woman's working capabilities (Jewell and Young, 2003). Aim: This study aimed to estimate the effect of mixed essential oils inhalation on nausea and vomiting in early pregnancy. Design: Randomized controlled trial. Setting: This study was conducted in Abha maternity teaching hospital-King Khalid University at the outpatient clinics. In addition to three maternal and child health centers. Abha-Kingdom of Saudi Arabia. Sample: Simple random sample of one hundred one pregnant women with single fetus were recruited in the study. The inclusion criteria were women who can read and write, their age between 15-38 years, between 8 and 16 weeks gestational, free from any medical disorders, who had nausea and/or vomiting, required anti-emetics and were not hospitalized. Tools and measurements: The Rhodes index for nausea and vomiting assessment, visual analogue mood scale, the fatigue severity scale, oil burners, and lavender and peppermint oils were the tools have been used in this study. Procedure: Women in the study group were asked to use the predefined essential oils twice a day, prior napping or sleeping. All participants in the study group were asked to record episodes of nausea and number of vomitus within twelve hours starting from inhalation of fragrance daily for three days. Results: Nausea and vomiting episodes were decreased at third day essential oils inhalation compared with baseline assessment among pregnant women in the study group. Moreover, women felt energetic after essential oils inhalation. Mood scores ranged between mild to moderate energy. Finally, although there was a significant change in fatigue score at third day's treatment, the fatigue scores still high. Conclusion: Inhalation of mixed two perfumes of lavender and peppermint oils may minimize the severity of nausea episodes, enhance energy level and decrease fatigability sensation.","author":[{"dropping-particle":"","family":"Mahmoud","given":"Rania","non-dropping-particle":"","parse-names":false,"suffix":""},{"dropping-particle":"","family":"Ghani","given":"Abdel","non-dropping-particle":"","parse-names":false,"suffix":""},{"dropping-particle":"","family":"Tawfik","given":"Adlia","non-dropping-particle":"","parse-names":false,"suffix":""},{"dropping-particle":"","family":"Ibrahim","given":"Ahmed","non-dropping-particle":"","parse-names":false,"suffix":""}],"id":"ITEM-1","issue":"6","issued":{"date-parts":[["2013"]]},"page":"10-22","title":"The Effect of Aromatherapy Inhalation on Nausea and Vomiting in Early Pregnancy : A Pilot Randomized Controlled Trial","type":"article-journal","volume":"3"},"uris":["http://www.mendeley.com/documents/?uuid=0a3854c2-3292-4177-8508-810994eb5851"]}],"mendeley":{"formattedCitation":"(6)","plainTextFormattedCitation":"(6)","previouslyFormattedCitation":"(6)"},"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(6)</w:t>
      </w:r>
      <w:r>
        <w:rPr>
          <w:rFonts w:ascii="Arial" w:hAnsi="Arial" w:cs="Arial"/>
          <w:sz w:val="24"/>
          <w:szCs w:val="24"/>
        </w:rPr>
        <w:fldChar w:fldCharType="end"/>
      </w:r>
      <w:r>
        <w:rPr>
          <w:rFonts w:ascii="Arial" w:hAnsi="Arial" w:cs="Arial"/>
          <w:sz w:val="24"/>
          <w:szCs w:val="24"/>
        </w:rPr>
        <w:t>.</w:t>
      </w:r>
    </w:p>
    <w:p>
      <w:pPr>
        <w:spacing w:line="240" w:lineRule="auto"/>
        <w:ind w:firstLine="720"/>
        <w:jc w:val="both"/>
        <w:rPr>
          <w:rFonts w:ascii="Arial" w:hAnsi="Arial" w:cs="Arial"/>
          <w:sz w:val="24"/>
          <w:szCs w:val="24"/>
        </w:rPr>
      </w:pPr>
      <w:r>
        <w:rPr>
          <w:rFonts w:ascii="Arial" w:hAnsi="Arial" w:cs="Arial"/>
          <w:sz w:val="24"/>
          <w:szCs w:val="24"/>
        </w:rPr>
        <w:t xml:space="preserve">Peppermint (Mentha piperita L) is an aromatic plant in the Lamiaceae family. Peppermint herbal therapist is used as an antispasmodic, carminative, antiemetic, lactation enhancer, sedative, and for the treatment of respiratory and urinary tract infections, morning sickness, dysmenorrhea, diarrhea, and diabetes </w:t>
      </w:r>
      <w:r>
        <w:rPr>
          <w:rFonts w:ascii="Arial" w:hAnsi="Arial" w:cs="Arial"/>
          <w:sz w:val="24"/>
          <w:szCs w:val="24"/>
        </w:rPr>
        <w:fldChar w:fldCharType="begin" w:fldLock="1"/>
      </w:r>
      <w:r>
        <w:rPr>
          <w:rFonts w:ascii="Arial" w:hAnsi="Arial" w:cs="Arial"/>
          <w:sz w:val="24"/>
          <w:szCs w:val="24"/>
        </w:rPr>
        <w:instrText xml:space="preserve">ADDIN CSL_CITATION {"citationItems":[{"id":"ITEM-1","itemData":{"ISSN":"2251676X","PMID":"29850445","abstract":"Background: Nausea and vomiting are common complaints in the first half of pregnancy. These symptoms can significantly affect a person's personal and professional life. Aromatherapy is one of the types of complementary medicine that is used in the treatment of nausea and vomiting. The objective of this study was to determine the effect of aromatherapy with peppermint oil on the severity of nausea and vomiting of pregnancy (NVP). Methods: This was a single-blind clinical trial that was conducted on 56 pregnant women with mild to moderate severity of NVP and 6 to 20 weeks of gestational age. After the determination of gestational age and base severity of NVP in each woman, they were randomly assigned to one of the two groups: peppermint oil (n=28) or placebo (n=28). Inhalation aromatherapy was done for four days and at the end of each day,they responded to the Pregnancy Unique Quantification of Emesis/Nausea questionnaire (PUQE). The data obtained were analyzed with Mann-Whitney test and ANOVA with repeated measures using SPSS software version 22. Also, the level of significance was p&lt;0.05. Results: Although the severity of NVP in each intervention group significantly decreased (p&lt;0.001), the comparison of the severity of NVP during the study period and at the end of it was not statistically significant between the placebo and intervention groups. Conclusion: According to the possibility of neurological mechanisms causing NVP, the effect of aromatherapy with peppermint oil and placebo were the same in this study. This similarity can be due to psychological impacts of intervention on pregnant women.","author":[{"dropping-particle":"","family":"Joulaeerad","given":"Narges","non-dropping-particle":"","parse-names":false,"suffix":""},{"dropping-particle":"","family":"Ozgoli","given":"Giti","non-dropping-particle":"","parse-names":false,"suffix":""},{"dropping-particle":"","family":"Hajimehdipoor","given":"Homa","non-dropping-particle":"","parse-names":false,"suffix":""},{"dropping-particle":"","family":"Ghasemi","given":"Erfan","non-dropping-particle":"","parse-names":false,"suffix":""},{"dropping-particle":"","family":"Salehimoghaddam","given":"Fatemeh","non-dropping-particle":"","parse-names":false,"suffix":""}],"container-title":"Journal of Reproduction and Infertility","id":"ITEM-1","issue":"1","issued":{"date-parts":[["2018"]]},"page":"32-38","title":"Effect of aromatherapy with peppermint oil on the severity of nausea and vomiting in pregnancy: A single-blind, randomized, placebo-controlled trial","type":"article-journal","volume":"19"},"uris":["http://www.mendeley.com/documents/?uuid=c02176be-d81b-48b7-a1e8-a0c16ea2e667"]}],"mendeley":{"formattedCitation":"(7)","plainTextFormattedCitation":"(7)","previouslyFormattedCitation":"(7)"},"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(7)</w:t>
      </w:r>
      <w:r>
        <w:rPr>
          <w:rFonts w:ascii="Arial" w:hAnsi="Arial" w:cs="Arial"/>
          <w:sz w:val="24"/>
          <w:szCs w:val="24"/>
        </w:rPr>
        <w:fldChar w:fldCharType="end"/>
      </w:r>
      <w:r>
        <w:rPr>
          <w:rFonts w:ascii="Arial" w:hAnsi="Arial" w:cs="Arial"/>
          <w:sz w:val="24"/>
          <w:szCs w:val="24"/>
        </w:rPr>
        <w:t xml:space="preserve">. Peppermint oil in the British Herbal Pharmacopoeia mentions its use as a treatment for morning sickness. Aromatherapy is used to relieve pain, depression, insomnia and fatigue, using oils found in various parts of the plant such as Lavandula angustifolia 3. Lavender with the scientific name Lavandula is a plant from the Lamiaceae family, native to the western Mediterranean region. Lipophilic monoterpene compounds against cell membranes, and cause changes in the activity of ion channels, carriers and nerve receptors. These properties may explain the calming effect of Lavender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{"citationItems":[{"id":"ITEM-1","itemData":{"DOI":"10.5812/aapm.9570","ISSN":"22287531","abstract":"Background: Pain is a major problem in patients after cesarean and medication such as aromatherapy which is a complementary therapy, in which the essences of the plants oils are used to reduce such undesirable conditions. Objectives: In this study, the effect of aromatherapy using Lavender (Lavandula) essential oil on cesarean postoperative pain was assessed. Materials and Methods: In a triple blind, randomized placebo-controlled trial study, 60 pregnant women who were admitted to a general hospital for cesarean section, were divided randomly into two groups. After cesarean, the Lavender group inhaled about 3 drops of 10% Lavender oil essence and the placebo group inhaled 3 drops of placebo after the start of postoperative pain, four, eight and 12 hours later, for 5 minutes from the 10 cm distance. Patient\\'s pain was measured by the VAS (Visual Analog Scale) score before and after each intervention, and vital sign, complications and level of satisfaction of every patient were recorded before and after aromatherapy. Results: There was no statistically significant difference between groups in age, height, weight, and time to the first analgesic requirement. Patients in the Lavender group had less postoperative pain in four (P = 0.008), eight (P = 0.024) and 12 (P = 0.011) hours after first medication than the placebo group. The decreased heart rate and patients\\' level of satisfaction with analgesia were significantly higher in the Lavender group (P = 0.001). In the placebo group, the use of diclofenac suppositories for complete analgesia was also significantly higher than the Lavender group (P = 0.008). Conclusions: The inhaled Lavender essence may be used as a part of the multidisciplinary treatment of pain after cesarean section, but it is not recommended as the sole pain management. © 2013 Iranian Society of Regional Anesthesia and Pain Medicine.","author":[{"dropping-particle":"","family":"Olapour","given":"Alireza","non-dropping-particle":"","parse-names":false,"suffix":""},{"dropping-particle":"","family":"Behaeen","given":"Kaveh","non-dropping-particle":"","parse-names":false,"suffix":""},{"dropping-particle":"","family":"Akhondzadeh","given":"Reza","non-dropping-particle":"","parse-names":false,"suffix":""},{"dropping-particle":"","family":"Soltani","given":"Farhad","non-dropping-particle":"","parse-names":false,"suffix":""},{"dropping-particle":"","family":"Razavi","given":"Forough Al Sadat","non-dropping-particle":"","parse-names":false,"suffix":""},{"dropping-particle":"","family":"Bekhradi","given":"Reza","non-dropping-particle":"","parse-names":false,"suffix":""}],"container-title":"Anesthesiology and Pain Medicine","id":"ITEM-1","issue":"1","issued":{"date-parts":[["2013"]]},"page":"203-207","title":"The effect of inhalation of aromatherapy blend containing lavender essential oil on cesarean postoperative pain","type":"article-journal","volume":"3"},"uris":["http://www.mendeley.com/documents/?uuid=f1bbc583-1b0e-42b6-9acc-fdc5a57602c9"]}],"mendeley":{"formattedCitation":"(8)","plainTextFormattedCitation":"(8)","previouslyFormattedCitation":"(8)"},"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(8)</w:t>
      </w:r>
      <w:r>
        <w:rPr>
          <w:rFonts w:ascii="Arial" w:hAnsi="Arial" w:cs="Arial"/>
          <w:sz w:val="24"/>
          <w:szCs w:val="24"/>
        </w:rPr>
        <w:fldChar w:fldCharType="end"/>
      </w:r>
      <w:r>
        <w:rPr>
          <w:rFonts w:ascii="Arial" w:hAnsi="Arial" w:cs="Arial"/>
          <w:sz w:val="24"/>
          <w:szCs w:val="24"/>
        </w:rPr>
        <w:t>.</w:t>
      </w:r>
    </w:p>
    <w:p>
      <w:pPr>
        <w:spacing w:line="240" w:lineRule="auto"/>
        <w:ind w:firstLine="720"/>
        <w:jc w:val="both"/>
        <w:rPr>
          <w:rFonts w:ascii="Arial" w:hAnsi="Arial" w:cs="Arial"/>
          <w:sz w:val="24"/>
          <w:szCs w:val="24"/>
        </w:rPr>
      </w:pPr>
      <w:r>
        <w:rPr>
          <w:rFonts w:ascii="Arial" w:hAnsi="Arial" w:cs="Arial"/>
          <w:sz w:val="24"/>
          <w:szCs w:val="24"/>
        </w:rPr>
        <w:t xml:space="preserve">Peppermint is included in the top notes class and lavender is included in the middle notes essential oil class, where in the aromatherapy formulation it is necessary to pay attention to making the right composition of the aromatherapy formula / blended essential oil preparation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{"citationItems":[{"id":"ITEM-1","itemData":{"DOI":"10.7324/JAPS.2018.8418","ISSN":"22313354","abstract":"The objective of this study was to develop aroma massage oil containing natural oils for relieving muscle pain and evaluate users' satisfaction. In addition, the skin irritation and skin sensitization of products were tested by using the Kligman maximization method. Seven essential oils were used as an active ingredient in the formula. Six carrier oils were used as a carrier oil in the formula. Tests of odor preference and odor acceptance of products were investigated in sixty-one consumers. The products were evaluated the preliminary physical stability in terms of color, smell, rancidity, viscosity, and precipitation, for a period of eight weeks. In addition, thirty consumers participated in the satisfaction evaluation. The results showed that consumers gave the most preference and acceptance to a blended essential oil preparation 1 (BEOP1) which composed of rosemary, lavender, patchouli, eucalyptus, and peppermint oils. The consumers gave an overall satisfied with carrier oil formulas which consisted of sweet almond, grape seed, avocado, jojoba oils, and macadamia oils. A massage oil formula which composed of BEOP1, vitamin E acetate, isopropyl myristate, and carrier oils gave the best physical characteristics. Moreover, developed massage oil remained stable for 8 weeks. No skin irritation and no skin sensitization were observed after volunteers applied to developed massage oil on the inner forearm for two weeks. Therefore, it could be suggested that developed massage oil was safety.","author":[{"dropping-particle":"","family":"Hongratanaworakit","given":"Tapanee","non-dropping-particle":"","parse-names":false,"suffix":""},{"dropping-particle":"","family":"Soontornmanokul","given":"Sukanya","non-dropping-particle":"","parse-names":false,"suffix":""},{"dropping-particle":"","family":"Wongareesanti","given":"Phattarapond","non-dropping-particle":"","parse-names":false,"suffix":""}],"container-title":"Journal of Applied Pharmaceutical Science","id":"ITEM-1","issue":"4","issued":{"date-parts":[["2018"]]},"page":"126-130","title":"Development of aroma massage oil for relieving muscle pain and satisfaction evaluation in humans","type":"article-journal","volume":"8"},"uris":["http://www.mendeley.com/documents/?uuid=24901832-2fdb-4fd9-8cef-9db29675db36"]}],"mendeley":{"formattedCitation":"(4)","plainTextFormattedCitation":"(4)","previouslyFormattedCitation":"(4)"},"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(4)</w:t>
      </w:r>
      <w:r>
        <w:rPr>
          <w:rFonts w:ascii="Arial" w:hAnsi="Arial" w:cs="Arial"/>
          <w:sz w:val="24"/>
          <w:szCs w:val="24"/>
        </w:rPr>
        <w:fldChar w:fldCharType="end"/>
      </w:r>
      <w:r>
        <w:rPr>
          <w:rFonts w:ascii="Arial" w:hAnsi="Arial" w:cs="Arial"/>
          <w:sz w:val="24"/>
          <w:szCs w:val="24"/>
        </w:rPr>
        <w:t>.</w:t>
      </w:r>
      <w:r>
        <w:rPr>
          <w:rFonts w:ascii="Times New Roman" w:hAnsi="Times New Roman"/>
          <w:sz w:val="24"/>
          <w:szCs w:val="24"/>
        </w:rPr>
        <w:t xml:space="preserve"> R. Hunt </w:t>
      </w:r>
      <w:r>
        <w:rPr>
          <w:rFonts w:ascii="Times New Roman" w:hAnsi="Times New Roman"/>
          <w:i/>
          <w:iCs/>
          <w:sz w:val="24"/>
          <w:szCs w:val="24"/>
        </w:rPr>
        <w:t xml:space="preserve">et al. </w:t>
      </w:r>
      <w:r>
        <w:rPr>
          <w:rFonts w:ascii="Arial" w:hAnsi="Arial" w:cs="Arial"/>
          <w:sz w:val="24"/>
          <w:szCs w:val="24"/>
        </w:rPr>
        <w:t xml:space="preserve">stated that inhaling mixed essential oils will minimize episodes of nausea and vomiting among pregnant women </w:t>
      </w:r>
      <w:r>
        <w:rPr>
          <w:rFonts w:ascii="Arial" w:hAnsi="Arial" w:cs="Arial"/>
          <w:sz w:val="24"/>
          <w:szCs w:val="24"/>
        </w:rPr>
        <w:fldChar w:fldCharType="begin" w:fldLock="1"/>
      </w:r>
      <w:r>
        <w:rPr>
          <w:rFonts w:ascii="Arial" w:hAnsi="Arial" w:cs="Arial"/>
          <w:sz w:val="24"/>
          <w:szCs w:val="24"/>
        </w:rPr>
        <w:instrText xml:space="preserve">ADDIN CSL_CITATION {"citationItems":[{"id":"ITEM-1","itemData":{"DOI":"10.1213/ANE.0b013e31824a0b1c","ISSN":"00032999","PMID":"22392970","abstract":"Background: Postoperative nausea (PON) is a common complication of anesthesia and surgery. Antiemetic medication for higher-risk patients may reduce but does not reliably prevent PON. We examined aromatherapy as a treatment for patients experiencing PON after ambulatory surgery. Our primary hypothesis was that in comparison with inhaling a placebo, PON will be reduced significantly by aromatherapy with (1) essential oil of ginger, (2) a blend of essential oils of ginger, spearmint, peppermint, and cardamom, or (3) isopropyl alcohol. Our secondary hypothesis was that the effectiveness of aromatherapy will depend upon the agent used. Methods: A randomized trial of aromatherapy with patients who reported nausea in the postanesthesia care unit was conducted at one ambulatory surgical center. Eligibility criteria were adult, able to give consent, and no history of coagulation problems or allergy to the aromatherapy agents. Before surgery, demographic and risk factors were collected. Patients with a nausea level of 1 to 3 on a verbal descriptive scale (0-3) received a gauze pad saturated with a randomly chosen aromatherapy agent and were told to inhale deeply 3 times; nausea (0-3) was then measured again in 5 minutes. Prophylactic and postnausea antiemetics were given as ordered by physicians or as requested by the patient. Results: A total of 1151 subjects were screened for inclusion; 303 subjects reporting nausea were enrolled (26.3%), and 301 meeting protocol were analyzed (26.2%). The change in nausea level was significant for the blend (P &lt; 0.001) and ginger (P = 0.002) versus saline but not for alcohol (P &lt; 0.76). The number of antiemetic medications requested after aromatherapy was also significantly reduced with ginger or blend aromatherapy versus saline (P = 0.002 and P &lt; 0.001, respectively). CONCLUSION: The hypothesis that aromatherapy would be effective as a treatment for PON was supported. On the basis of our results, future research further evaluating aromatherapy is warranted. Aromatherapy is promising as an inexpensive, noninvasive treatment for PON that can be administered and controlled by patients as needed. © 2013 International Anesthesia Research Society.","author":[{"dropping-particle":"","family":"Hunt","given":"Ronald","non-dropping-particle":"","parse-names":false,"suffix":""},{"dropping-particle":"","family":"Dienemann","given":"Jacqueline","non-dropping-particle":"","parse-names":false,"suffix":""},{"dropping-particle":"","family":"Norton","given":"H. James","non-dropping-particle":"","parse-names":false,"suffix":""},{"dropping-particle":"","family":"Hartley","given":"Wendy","non-dropping-particle":"","parse-names":false,"suffix":""},{"dropping-particle":"","family":"Hudgens","given":"Amanda","non-dropping-particle":"","parse-names":false,"suffix":""},{"dropping-particle":"","family":"Stern","given":"Thomas","non-dropping-particle":"","parse-names":false,"suffix":""},{"dropping-particle":"","family":"Divine","given":"George","non-dropping-particle":"","parse-names":false,"suffix":""}],"container-title":"Anesthesia and Analgesia","id":"ITEM-1","issue":"3","issued":{"date-parts":[["2013"]]},"page":"597-604","title":"Aromatherapy as treatment for postoperative nausea: A randomized trial","type":"article-journal","volume":"117"},"uris":["http://www.mendeley.com/documents/?uuid=948eb9ca-a30b-480e-8e11-88bf8ca29aa1"]}],"mendeley":{"formattedCitation":"(5)","plainTextFormattedCitation":"(5)","previouslyFormattedCitation":"(5)"},"properties":{"noteIndex":0},"schema":"https://github.com/citation-style-language/schema/raw/master/csl-citation.json"}</w:instrText>
      </w:r>
      <w:r>
        <w:rPr>
          <w:rFonts w:ascii="Arial" w:hAnsi="Arial" w:cs="Arial"/>
          <w:sz w:val="24"/>
          <w:szCs w:val="24"/>
        </w:rPr>
        <w:fldChar w:fldCharType="separate"/>
      </w:r>
      <w:r>
        <w:rPr>
          <w:rFonts w:ascii="Arial" w:hAnsi="Arial" w:cs="Arial"/>
          <w:sz w:val="24"/>
          <w:szCs w:val="24"/>
        </w:rPr>
        <w:t>(5)</w:t>
      </w:r>
      <w:r>
        <w:rPr>
          <w:rFonts w:ascii="Arial" w:hAnsi="Arial" w:cs="Arial"/>
          <w:sz w:val="24"/>
          <w:szCs w:val="24"/>
        </w:rPr>
        <w:fldChar w:fldCharType="end"/>
      </w:r>
      <w:r>
        <w:rPr>
          <w:rFonts w:ascii="Arial" w:hAnsi="Arial" w:cs="Arial"/>
          <w:sz w:val="24"/>
          <w:szCs w:val="24"/>
        </w:rPr>
        <w:t>.</w:t>
      </w:r>
    </w:p>
    <w:p>
      <w:pPr>
        <w:spacing w:line="240" w:lineRule="auto"/>
        <w:ind w:firstLine="720"/>
        <w:jc w:val="both"/>
        <w:rPr>
          <w:rFonts w:ascii="Arial" w:hAnsi="Arial"/>
          <w:sz w:val="24"/>
          <w:szCs w:val="24"/>
        </w:rPr>
      </w:pPr>
      <w:r>
        <w:rPr>
          <w:rFonts w:ascii="Arial" w:hAnsi="Arial"/>
          <w:sz w:val="24"/>
          <w:szCs w:val="24"/>
        </w:rPr>
        <w:t>The most popular and most effective pepperlav aromatherapy preparation in overcoming nausea is the F1 B formula, which is a combination of 40% peppermint: 50% lavender: 10% VCO. In this formulation, it appears that the dominant composition is Lavender, this is because lavender essential oil provides a comfortable, calming effect and increases relaxation, Apleton (2012), in Pande, et al (2013), while peppermint contains menthol (50%) and Menthone (10%-30%) is high, besides peppermint provides a carnimative and antispasmodic effect that specifically acts on the smooth muscles of the gastrointestinal tract or digestive tract and throughout the bile. Aromatherapy preparations with this essential oil when inhaled molecules will enter the nasal cavity and stimulate the limbic system in the brain which is an area that affects emotions and memory and directly affects the adrenal glands, pituitary gland, hypothalamus and other body parts that regulate blood pressure, heart rate, memory stress, respiration and hormonal balance.</w:t>
      </w:r>
    </w:p>
    <w:p>
      <w:pPr>
        <w:spacing w:line="240" w:lineRule="auto"/>
        <w:ind w:firstLine="720"/>
        <w:jc w:val="both"/>
        <w:rPr>
          <w:rFonts w:ascii="Arial" w:hAnsi="Arial"/>
          <w:sz w:val="24"/>
          <w:szCs w:val="24"/>
        </w:rPr>
      </w:pPr>
      <w:r>
        <w:rPr>
          <w:rFonts w:ascii="Arial" w:hAnsi="Arial"/>
          <w:sz w:val="24"/>
          <w:szCs w:val="24"/>
        </w:rPr>
        <w:t xml:space="preserve">Giving aromatherapy (lavender and peppermint) can improve mood and energy scores for the better in first trimester pregnant women </w:t>
      </w:r>
      <w:r>
        <w:rPr>
          <w:rFonts w:ascii="Arial" w:hAnsi="Arial"/>
          <w:sz w:val="24"/>
          <w:szCs w:val="24"/>
        </w:rPr>
        <w:fldChar w:fldCharType="begin" w:fldLock="1"/>
      </w:r>
      <w:r>
        <w:rPr>
          <w:rFonts w:ascii="Arial" w:hAnsi="Arial"/>
          <w:sz w:val="24"/>
          <w:szCs w:val="24"/>
        </w:rPr>
        <w:instrText xml:space="preserve">ADDIN CSL_CITATION {"citationItems":[{"id":"ITEM-1","itemData":{"abstract":"Nausea and vomiting during pregnancy negatively impacts family relationships and has major consequences on the pregnant woman's working capabilities (Jewell and Young, 2003). Aim: This study aimed to estimate the effect of mixed essential oils inhalation on nausea and vomiting in early pregnancy. Design: Randomized controlled trial. Setting: This study was conducted in Abha maternity teaching hospital-King Khalid University at the outpatient clinics. In addition to three maternal and child health centers. Abha-Kingdom of Saudi Arabia. Sample: Simple random sample of one hundred one pregnant women with single fetus were recruited in the study. The inclusion criteria were women who can read and write, their age between 15-38 years, between 8 and 16 weeks gestational, free from any medical disorders, who had nausea and/or vomiting, required anti-emetics and were not hospitalized. Tools and measurements: The Rhodes index for nausea and vomiting assessment, visual analogue mood scale, the fatigue severity scale, oil burners, and lavender and peppermint oils were the tools have been used in this study. Procedure: Women in the study group were asked to use the predefined essential oils twice a day, prior napping or sleeping. All participants in the study group were asked to record episodes of nausea and number of vomitus within twelve hours starting from inhalation of fragrance daily for three days. Results: Nausea and vomiting episodes were decreased at third day essential oils inhalation compared with baseline assessment among pregnant women in the study group. Moreover, women felt energetic after essential oils inhalation. Mood scores ranged between mild to moderate energy. Finally, although there was a significant change in fatigue score at third day's treatment, the fatigue scores still high. Conclusion: Inhalation of mixed two perfumes of lavender and peppermint oils may minimize the severity of nausea episodes, enhance energy level and decrease fatigability sensation.","author":[{"dropping-particle":"","family":"Mahmoud","given":"Rania","non-dropping-particle":"","parse-names":false,"suffix":""},{"dropping-particle":"","family":"Ghani","given":"Abdel","non-dropping-particle":"","parse-names":false,"suffix":""},{"dropping-particle":"","family":"Tawfik","given":"Adlia","non-dropping-particle":"","parse-names":false,"suffix":""},{"dropping-particle":"","family":"Ibrahim","given":"Ahmed","non-dropping-particle":"","parse-names":false,"suffix":""}],"id":"ITEM-1","issue":"6","issued":{"date-parts":[["2013"]]},"page":"10-22","title":"The Effect of Aromatherapy Inhalation on Nausea and Vomiting in Early Pregnancy : A Pilot Randomized Controlled Trial","type":"article-journal","volume":"3"},"uris":["http://www.mendeley.com/documents/?uuid=0a3854c2-3292-4177-8508-810994eb5851"]}],"mendeley":{"formattedCitation":"(6)","plainTextFormattedCitation":"(6)","previouslyFormattedCitation":"(6)"},"properties":{"noteIndex":0},"schema":"https://github.com/citation-style-language/schema/raw/master/csl-citation.json"}</w:instrText>
      </w:r>
      <w:r>
        <w:rPr>
          <w:rFonts w:ascii="Arial" w:hAnsi="Arial"/>
          <w:sz w:val="24"/>
          <w:szCs w:val="24"/>
        </w:rPr>
        <w:fldChar w:fldCharType="separate"/>
      </w:r>
      <w:r>
        <w:rPr>
          <w:rFonts w:ascii="Arial" w:hAnsi="Arial"/>
          <w:sz w:val="24"/>
          <w:szCs w:val="24"/>
        </w:rPr>
        <w:t>(6)</w:t>
      </w:r>
      <w:r>
        <w:rPr>
          <w:rFonts w:ascii="Arial" w:hAnsi="Arial"/>
          <w:sz w:val="24"/>
          <w:szCs w:val="24"/>
        </w:rPr>
        <w:fldChar w:fldCharType="end"/>
      </w:r>
      <w:r>
        <w:rPr>
          <w:rFonts w:ascii="Arial" w:hAnsi="Arial"/>
          <w:sz w:val="24"/>
          <w:szCs w:val="24"/>
        </w:rPr>
        <w:t xml:space="preserve">. Both have an anti-depressant effect because of their essential oil content and aromatherapy properties. An essential oil can be used in conjunction with other essential oils and this mixture is called a synergy. Synergy is more effective than one type of essential oil </w:t>
      </w:r>
      <w:r>
        <w:rPr>
          <w:rFonts w:ascii="Arial" w:hAnsi="Arial"/>
          <w:sz w:val="24"/>
          <w:szCs w:val="24"/>
        </w:rPr>
        <w:fldChar w:fldCharType="begin" w:fldLock="1"/>
      </w:r>
      <w:r>
        <w:rPr>
          <w:rFonts w:ascii="Arial" w:hAnsi="Arial"/>
          <w:sz w:val="24"/>
          <w:szCs w:val="24"/>
        </w:rPr>
        <w:instrText xml:space="preserve">ADDIN CSL_CITATION {"citationItems":[{"id":"ITEM-1","itemData":{"author":[{"dropping-particle":"","family":"Ana","given":"Soumy","non-dropping-particle":"","parse-names":false,"suffix":""}],"id":"ITEM-1","issued":{"date-parts":[["2010"]]},"publisher":"Buku Biru","publisher-place":"Yogyakarta","title":"Trimester Pertama Kehamilan Anda : Fase-Fase Paling Mendebarkan","type":"book"},"uris":["http://www.mendeley.com/documents/?uuid=d9c4908d-ab4e-41f6-af66-40f8c5cb7ed8"]}],"mendeley":{"formattedCitation":"(16)","plainTextFormattedCitation":"(16)","previouslyFormattedCitation":"(15)"},"properties":{"noteIndex":0},"schema":"https://github.com/citation-style-language/schema/raw/master/csl-citation.json"}</w:instrText>
      </w:r>
      <w:r>
        <w:rPr>
          <w:rFonts w:ascii="Arial" w:hAnsi="Arial"/>
          <w:sz w:val="24"/>
          <w:szCs w:val="24"/>
        </w:rPr>
        <w:fldChar w:fldCharType="separate"/>
      </w:r>
      <w:r>
        <w:rPr>
          <w:rFonts w:ascii="Arial" w:hAnsi="Arial"/>
          <w:sz w:val="24"/>
          <w:szCs w:val="24"/>
        </w:rPr>
        <w:t>(16)</w:t>
      </w:r>
      <w:r>
        <w:rPr>
          <w:rFonts w:ascii="Arial" w:hAnsi="Arial"/>
          <w:sz w:val="24"/>
          <w:szCs w:val="24"/>
        </w:rPr>
        <w:fldChar w:fldCharType="end"/>
      </w:r>
      <w:r>
        <w:rPr>
          <w:rFonts w:ascii="Arial" w:hAnsi="Arial"/>
          <w:sz w:val="24"/>
          <w:szCs w:val="24"/>
        </w:rPr>
        <w:t xml:space="preserve">. </w:t>
      </w:r>
      <w:bookmarkStart w:id="1" w:name="_GoBack"/>
      <w:bookmarkEnd w:id="1"/>
    </w:p>
    <w:p>
      <w:pPr>
        <w:spacing w:after="0" w:line="240" w:lineRule="auto"/>
        <w:rPr>
          <w:rFonts w:ascii="Arial" w:hAnsi="Arial" w:cs="Arial"/>
          <w:b/>
          <w:sz w:val="24"/>
          <w:szCs w:val="24"/>
        </w:rPr>
      </w:pPr>
      <w:r>
        <w:rPr>
          <w:rFonts w:ascii="Arial" w:hAnsi="Arial" w:cs="Arial"/>
          <w:b/>
          <w:sz w:val="24"/>
          <w:szCs w:val="24"/>
        </w:rPr>
        <w:t>CONCLUSION</w:t>
      </w:r>
    </w:p>
    <w:p>
      <w:pPr>
        <w:spacing w:line="240" w:lineRule="auto"/>
        <w:ind w:firstLine="720"/>
        <w:jc w:val="both"/>
        <w:rPr>
          <w:rFonts w:ascii="Arial" w:hAnsi="Arial" w:cs="Arial"/>
          <w:sz w:val="24"/>
          <w:szCs w:val="24"/>
        </w:rPr>
      </w:pPr>
      <w:r>
        <w:rPr>
          <w:rFonts w:ascii="Arial" w:hAnsi="Arial" w:cs="Arial"/>
          <w:sz w:val="24"/>
          <w:szCs w:val="24"/>
        </w:rPr>
        <w:t>Aromatherapy Sedian Pepperlav (Peppermint and Lavender) Inhalation with Formula 1 formulation (40% Peppermint: 50% Lavender: 10% VCO) has a significant effect in reducing nausea and vomiting in pregnant women. The limitations of this study are that the sample used is sufficient and there is less interaction with pregnant women due to adjusting the covid 19 protocol.</w:t>
      </w:r>
    </w:p>
    <w:p>
      <w:pPr>
        <w:spacing w:after="0" w:line="240" w:lineRule="auto"/>
        <w:rPr>
          <w:rFonts w:ascii="Arial" w:hAnsi="Arial" w:cs="Arial"/>
          <w:sz w:val="24"/>
          <w:szCs w:val="24"/>
        </w:rPr>
      </w:pPr>
      <w:r>
        <w:rPr>
          <w:rFonts w:ascii="Arial" w:hAnsi="Arial" w:cs="Arial"/>
          <w:b/>
          <w:sz w:val="24"/>
          <w:szCs w:val="24"/>
        </w:rPr>
        <w:t>ACKNOWLEDGEMENT</w:t>
      </w:r>
    </w:p>
    <w:p>
      <w:pPr>
        <w:spacing w:line="240" w:lineRule="auto"/>
        <w:ind w:firstLine="720"/>
        <w:jc w:val="both"/>
        <w:rPr>
          <w:rFonts w:ascii="Arial" w:hAnsi="Arial" w:cs="Arial"/>
          <w:sz w:val="24"/>
          <w:szCs w:val="24"/>
        </w:rPr>
      </w:pPr>
      <w:r>
        <w:rPr>
          <w:rFonts w:ascii="Arial" w:hAnsi="Arial" w:cs="Arial"/>
          <w:sz w:val="24"/>
          <w:szCs w:val="24"/>
        </w:rPr>
        <w:t>The author would like to thank the Indonesian Ministry of Higher Education (Kemenristek DIKTI), LL Dikti Region V, Alma Ata University and all psrticipant that we can’t mention one by one.</w:t>
      </w:r>
    </w:p>
    <w:p>
      <w:pPr>
        <w:spacing w:before="0" w:beforeAutospacing="0" w:after="0" w:line="240" w:lineRule="auto"/>
        <w:rPr>
          <w:rFonts w:ascii="Arial" w:hAnsi="Arial" w:cs="Arial"/>
          <w:b/>
          <w:sz w:val="24"/>
          <w:szCs w:val="24"/>
        </w:rPr>
      </w:pPr>
      <w:r>
        <w:rPr>
          <w:rFonts w:ascii="Arial" w:hAnsi="Arial" w:cs="Arial"/>
          <w:b/>
          <w:sz w:val="24"/>
          <w:szCs w:val="24"/>
        </w:rPr>
        <w:t>REFERENCES</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eastAsia="SimSun" w:cs="Arial"/>
          <w:sz w:val="24"/>
          <w:szCs w:val="24"/>
        </w:rPr>
        <w:fldChar w:fldCharType="begin" w:fldLock="1"/>
      </w:r>
      <w:r>
        <w:rPr>
          <w:rFonts w:ascii="Arial" w:hAnsi="Arial" w:eastAsia="SimSun" w:cs="Arial"/>
          <w:sz w:val="24"/>
          <w:szCs w:val="24"/>
        </w:rPr>
        <w:instrText xml:space="preserve">ADDIN Mendeley Bibliography CSL_BIBLIOGRAPHY </w:instrText>
      </w:r>
      <w:r>
        <w:rPr>
          <w:rFonts w:ascii="Arial" w:hAnsi="Arial" w:eastAsia="SimSun" w:cs="Arial"/>
          <w:sz w:val="24"/>
          <w:szCs w:val="24"/>
        </w:rPr>
        <w:fldChar w:fldCharType="separate"/>
      </w:r>
      <w:r>
        <w:rPr>
          <w:rFonts w:ascii="Arial" w:hAnsi="Arial" w:cs="Arial"/>
          <w:sz w:val="24"/>
          <w:szCs w:val="24"/>
        </w:rPr>
        <w:t xml:space="preserve">1. </w:t>
      </w:r>
      <w:r>
        <w:rPr>
          <w:rFonts w:ascii="Arial" w:hAnsi="Arial" w:cs="Arial"/>
          <w:sz w:val="24"/>
          <w:szCs w:val="24"/>
        </w:rPr>
        <w:tab/>
      </w:r>
      <w:r>
        <w:rPr>
          <w:rFonts w:ascii="Arial" w:hAnsi="Arial" w:cs="Arial"/>
          <w:sz w:val="24"/>
          <w:szCs w:val="24"/>
        </w:rPr>
        <w:t xml:space="preserve">Mccarthy FP, Khashan AS, North RA, Moss-morris R, Baker PN, Dekker G, et al. A Prospective Cohort Study Investigating Associations between Hyperemesis Gravidarum and Cognitive , Behavioural and Emotional Well-Being in Pregnancy. PLoS One. 2011;6(11):1–7.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2. </w:t>
      </w:r>
      <w:r>
        <w:rPr>
          <w:rFonts w:ascii="Arial" w:hAnsi="Arial" w:cs="Arial"/>
          <w:sz w:val="24"/>
          <w:szCs w:val="24"/>
        </w:rPr>
        <w:tab/>
      </w:r>
      <w:r>
        <w:rPr>
          <w:rFonts w:ascii="Arial" w:hAnsi="Arial" w:cs="Arial"/>
          <w:sz w:val="24"/>
          <w:szCs w:val="24"/>
        </w:rPr>
        <w:t>Widiasari NPA, Trapika IGMSC. Pola Pemberian Terapi Mual dan Muntah pada Ibu Hamil oleh Doktter Spesialis Obstetri dan Ginekologi serta Bidan di Kota Denpasar. E-Jurnal Med [Internet]. 2017;6(5):28–35. Available from: http://ojs.unud.ac.id/index.php/eum</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3. </w:t>
      </w:r>
      <w:r>
        <w:rPr>
          <w:rFonts w:ascii="Arial" w:hAnsi="Arial" w:cs="Arial"/>
          <w:sz w:val="24"/>
          <w:szCs w:val="24"/>
        </w:rPr>
        <w:tab/>
      </w:r>
      <w:r>
        <w:rPr>
          <w:rFonts w:ascii="Arial" w:hAnsi="Arial" w:cs="Arial"/>
          <w:sz w:val="24"/>
          <w:szCs w:val="24"/>
        </w:rPr>
        <w:t xml:space="preserve">Wegrzyniak LJ DO, John T.Repke M, Serdar H. Ural M. Treatment of hyperemesis gravidarum. 2012;2:78–84.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4. </w:t>
      </w:r>
      <w:r>
        <w:rPr>
          <w:rFonts w:ascii="Arial" w:hAnsi="Arial" w:cs="Arial"/>
          <w:sz w:val="24"/>
          <w:szCs w:val="24"/>
        </w:rPr>
        <w:tab/>
      </w:r>
      <w:r>
        <w:rPr>
          <w:rFonts w:ascii="Arial" w:hAnsi="Arial" w:cs="Arial"/>
          <w:sz w:val="24"/>
          <w:szCs w:val="24"/>
        </w:rPr>
        <w:t xml:space="preserve">Hongratanaworakit T, Soontornmanokul S, Wongareesanti P. Development of aroma massage oil for relieving muscle pain and satisfaction evaluation in humans. J Appl Pharm Sci. 2018;8(4):126–30.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5. </w:t>
      </w:r>
      <w:r>
        <w:rPr>
          <w:rFonts w:ascii="Arial" w:hAnsi="Arial" w:cs="Arial"/>
          <w:sz w:val="24"/>
          <w:szCs w:val="24"/>
        </w:rPr>
        <w:tab/>
      </w:r>
      <w:r>
        <w:rPr>
          <w:rFonts w:ascii="Arial" w:hAnsi="Arial" w:cs="Arial"/>
          <w:sz w:val="24"/>
          <w:szCs w:val="24"/>
        </w:rPr>
        <w:t xml:space="preserve">Hunt R, Dienemann J, Norton HJ, Hartley W, Hudgens A, Stern T, et al. Aromatherapy as treatment for postoperative nausea: A randomized trial. Anesth Analg. 2013;117(3):597–604.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6. </w:t>
      </w:r>
      <w:r>
        <w:rPr>
          <w:rFonts w:ascii="Arial" w:hAnsi="Arial" w:cs="Arial"/>
          <w:sz w:val="24"/>
          <w:szCs w:val="24"/>
        </w:rPr>
        <w:tab/>
      </w:r>
      <w:r>
        <w:rPr>
          <w:rFonts w:ascii="Arial" w:hAnsi="Arial" w:cs="Arial"/>
          <w:sz w:val="24"/>
          <w:szCs w:val="24"/>
        </w:rPr>
        <w:t xml:space="preserve">Mahmoud R, Ghani A, Tawfik A, Ibrahim A. The Effect of Aromatherapy Inhalation on Nausea and Vomiting in Early Pregnancy : A Pilot Randomized Controlled Trial. 2013;3(6):10–22.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7. </w:t>
      </w:r>
      <w:r>
        <w:rPr>
          <w:rFonts w:ascii="Arial" w:hAnsi="Arial" w:cs="Arial"/>
          <w:sz w:val="24"/>
          <w:szCs w:val="24"/>
        </w:rPr>
        <w:tab/>
      </w:r>
      <w:r>
        <w:rPr>
          <w:rFonts w:ascii="Arial" w:hAnsi="Arial" w:cs="Arial"/>
          <w:sz w:val="24"/>
          <w:szCs w:val="24"/>
        </w:rPr>
        <w:t xml:space="preserve">Joulaeerad N, Ozgoli G, Hajimehdipoor H, Ghasemi E, Salehimoghaddam F. Effect of aromatherapy with peppermint oil on the severity of nausea and vomiting in pregnancy: A single-blind, randomized, placebo-controlled trial. J Reprod Infertil. 2018;19(1):32–8.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8. </w:t>
      </w:r>
      <w:r>
        <w:rPr>
          <w:rFonts w:ascii="Arial" w:hAnsi="Arial" w:cs="Arial"/>
          <w:sz w:val="24"/>
          <w:szCs w:val="24"/>
        </w:rPr>
        <w:tab/>
      </w:r>
      <w:r>
        <w:rPr>
          <w:rFonts w:ascii="Arial" w:hAnsi="Arial" w:cs="Arial"/>
          <w:sz w:val="24"/>
          <w:szCs w:val="24"/>
        </w:rPr>
        <w:t xml:space="preserve">Olapour A, Behaeen K, Akhondzadeh R, Soltani F, Razavi FAS, Bekhradi R. The effect of inhalation of aromatherapy blend containing lavender essential oil on cesarean postoperative pain. Anesthesiol Pain Med. 2013;3(1):203–7.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9. </w:t>
      </w:r>
      <w:r>
        <w:rPr>
          <w:rFonts w:ascii="Arial" w:hAnsi="Arial" w:cs="Arial"/>
          <w:sz w:val="24"/>
          <w:szCs w:val="24"/>
        </w:rPr>
        <w:tab/>
      </w:r>
      <w:r>
        <w:rPr>
          <w:rFonts w:ascii="Arial" w:hAnsi="Arial" w:cs="Arial"/>
          <w:sz w:val="24"/>
          <w:szCs w:val="24"/>
        </w:rPr>
        <w:t xml:space="preserve">Notoadmodjo. Metodologi Penelitian Kesehatan. </w:t>
      </w:r>
      <w:r>
        <w:rPr>
          <w:rFonts w:ascii="Arial" w:hAnsi="Arial" w:eastAsia="SimSun" w:cs="Arial"/>
          <w:color w:val="000000"/>
          <w:sz w:val="24"/>
          <w:szCs w:val="24"/>
        </w:rPr>
        <w:t>Jakarta: PT Rineka Cipta; 2012</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10. </w:t>
      </w:r>
      <w:r>
        <w:rPr>
          <w:rFonts w:ascii="Arial" w:hAnsi="Arial" w:cs="Arial"/>
          <w:sz w:val="24"/>
          <w:szCs w:val="24"/>
        </w:rPr>
        <w:tab/>
      </w:r>
      <w:r>
        <w:rPr>
          <w:rFonts w:ascii="Arial" w:hAnsi="Arial" w:cs="Arial"/>
          <w:sz w:val="24"/>
          <w:szCs w:val="24"/>
        </w:rPr>
        <w:t xml:space="preserve">Weigel MM, Weigel RM. The association of reproductive history, demographic factors, and alcohol and  tobacco consumption with the risk of developing nausea and vomiting in early pregnancy. Am J Epidemiol. 1988 Mar;127(3):562–70.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11. </w:t>
      </w:r>
      <w:r>
        <w:rPr>
          <w:rFonts w:ascii="Arial" w:hAnsi="Arial" w:cs="Arial"/>
          <w:sz w:val="24"/>
          <w:szCs w:val="24"/>
        </w:rPr>
        <w:tab/>
      </w:r>
      <w:r>
        <w:rPr>
          <w:rFonts w:ascii="Arial" w:hAnsi="Arial" w:cs="Arial"/>
          <w:sz w:val="24"/>
          <w:szCs w:val="24"/>
        </w:rPr>
        <w:t xml:space="preserve">Davis M. Nausea and vomiting of pregnancy: an evidence-based review. J Perinat Neonatal Nurs. 2004;18(4):312–28.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12. </w:t>
      </w:r>
      <w:r>
        <w:rPr>
          <w:rFonts w:ascii="Arial" w:hAnsi="Arial" w:cs="Arial"/>
          <w:sz w:val="24"/>
          <w:szCs w:val="24"/>
        </w:rPr>
        <w:tab/>
      </w:r>
      <w:r>
        <w:rPr>
          <w:rFonts w:ascii="Arial" w:hAnsi="Arial" w:cs="Arial"/>
          <w:sz w:val="24"/>
          <w:szCs w:val="24"/>
        </w:rPr>
        <w:t xml:space="preserve">GZhang H, Wu S, Feng J, Liu Z. Risk factors of prolonged nausea and vomiting during pregnancy. Risk Manag Healthc Policy. 2020;13:2645–54.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13. </w:t>
      </w:r>
      <w:r>
        <w:rPr>
          <w:rFonts w:ascii="Arial" w:hAnsi="Arial" w:cs="Arial"/>
          <w:sz w:val="24"/>
          <w:szCs w:val="24"/>
        </w:rPr>
        <w:tab/>
      </w:r>
      <w:r>
        <w:rPr>
          <w:rFonts w:ascii="Arial" w:hAnsi="Arial" w:cs="Arial"/>
          <w:sz w:val="24"/>
          <w:szCs w:val="24"/>
        </w:rPr>
        <w:t xml:space="preserve">Ermaya D, Patria A, Hidayat F, Razi F. Pengembangan Minyak Nilam Sebagai Aromaterapi Dan Potensinya Sebagai Produk Obat. Rona Tek Pertan. 2019;12(2):58–63.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14. </w:t>
      </w:r>
      <w:r>
        <w:rPr>
          <w:rFonts w:ascii="Arial" w:hAnsi="Arial" w:cs="Arial"/>
          <w:sz w:val="24"/>
          <w:szCs w:val="24"/>
        </w:rPr>
        <w:tab/>
      </w:r>
      <w:r>
        <w:rPr>
          <w:rFonts w:ascii="Arial" w:hAnsi="Arial" w:cs="Arial"/>
          <w:sz w:val="24"/>
          <w:szCs w:val="24"/>
        </w:rPr>
        <w:t>Jayasekara C, Gunathilake K. Processing technologies for virgin coconut oil and coconut based Confectionaries and beverages. Proc Int … [Internet]. 2007;(August). Available from: https://www.researchgate.net/profile/KD_Prasanna_Gunathilake/publication/256765889_Processing_technologies_for_virgin_coconut_oil_and_coconut_based_Confectionaries_and_beverages/links/55ce1f9a08ae118c85be09ce.pdf</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15. </w:t>
      </w:r>
      <w:r>
        <w:rPr>
          <w:rFonts w:ascii="Arial" w:hAnsi="Arial" w:cs="Arial"/>
          <w:sz w:val="24"/>
          <w:szCs w:val="24"/>
        </w:rPr>
        <w:tab/>
      </w:r>
      <w:r>
        <w:rPr>
          <w:rFonts w:ascii="Arial" w:hAnsi="Arial" w:cs="Arial"/>
          <w:sz w:val="24"/>
          <w:szCs w:val="24"/>
        </w:rPr>
        <w:t xml:space="preserve">Shijna Kappally AS and AS. a Review of Potential Applications. HygeiaJDMed. 2015;7(2):34–41. </w:t>
      </w:r>
    </w:p>
    <w:p>
      <w:pPr>
        <w:widowControl w:val="0"/>
        <w:autoSpaceDE w:val="0"/>
        <w:autoSpaceDN w:val="0"/>
        <w:adjustRightInd w:val="0"/>
        <w:spacing w:after="0" w:line="240" w:lineRule="auto"/>
        <w:ind w:left="640" w:hanging="640"/>
        <w:jc w:val="both"/>
        <w:rPr>
          <w:rFonts w:ascii="Arial" w:hAnsi="Arial" w:cs="Arial"/>
          <w:sz w:val="24"/>
          <w:szCs w:val="24"/>
        </w:rPr>
      </w:pPr>
      <w:r>
        <w:rPr>
          <w:rFonts w:ascii="Arial" w:hAnsi="Arial" w:cs="Arial"/>
          <w:sz w:val="24"/>
          <w:szCs w:val="24"/>
        </w:rPr>
        <w:t xml:space="preserve">16. </w:t>
      </w:r>
      <w:r>
        <w:rPr>
          <w:rFonts w:ascii="Arial" w:hAnsi="Arial" w:cs="Arial"/>
          <w:sz w:val="24"/>
          <w:szCs w:val="24"/>
        </w:rPr>
        <w:tab/>
      </w:r>
      <w:r>
        <w:rPr>
          <w:rFonts w:ascii="Arial" w:hAnsi="Arial" w:cs="Arial"/>
          <w:sz w:val="24"/>
          <w:szCs w:val="24"/>
        </w:rPr>
        <w:t xml:space="preserve">Ana S. Trimester Pertama Kehamilan Anda : Fase-Fase Paling Mendebarkan. Yogyakarta: Buku Biru; 2010. </w:t>
      </w:r>
    </w:p>
    <w:p>
      <w:pPr>
        <w:widowControl w:val="0"/>
        <w:autoSpaceDE w:val="0"/>
        <w:autoSpaceDN w:val="0"/>
        <w:adjustRightInd w:val="0"/>
        <w:spacing w:after="0" w:line="240" w:lineRule="auto"/>
        <w:ind w:left="640" w:hanging="640"/>
        <w:rPr>
          <w:color w:val="0000FF"/>
          <w:sz w:val="24"/>
          <w:szCs w:val="24"/>
        </w:rPr>
      </w:pPr>
      <w:r>
        <w:rPr>
          <w:rFonts w:ascii="Arial" w:hAnsi="Arial" w:eastAsia="SimSun" w:cs="Arial"/>
          <w:sz w:val="24"/>
          <w:szCs w:val="24"/>
        </w:rPr>
        <w:fldChar w:fldCharType="end"/>
      </w:r>
    </w:p>
    <w:p>
      <w:pPr>
        <w:rPr>
          <w:sz w:val="24"/>
          <w:szCs w:val="24"/>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Hei">
    <w:altName w:val="SimSun"/>
    <w:panose1 w:val="02010600030101010101"/>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Times-Roman">
    <w:altName w:val="Times New Roma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p>
  </w:footnote>
  <w:footnote w:type="continuationSeparator" w:id="1">
    <w:p>
      <w:pPr>
        <w:spacing w:before="0" w:after="0" w:line="256"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F92A60"/>
    <w:multiLevelType w:val="multilevel"/>
    <w:tmpl w:val="27F92A60"/>
    <w:lvl w:ilvl="0" w:tentative="0">
      <w:start w:val="1"/>
      <w:numFmt w:val="upperLetter"/>
      <w:suff w:val="space"/>
      <w:lvlText w:val="%1."/>
      <w:lvlJc w:val="left"/>
      <w:pPr>
        <w:ind w:left="0" w:firstLine="0"/>
      </w:pPr>
      <w:rPr>
        <w:rFonts w:hint="default" w:ascii="Times New Roman" w:hAnsi="Times New Roman" w:cs="Times New Roman"/>
        <w:b/>
        <w:bCs/>
        <w:sz w:val="24"/>
        <w:szCs w:val="24"/>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attachedTemplate r:id="rId1"/>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C65FC6"/>
    <w:rsid w:val="00072DD9"/>
    <w:rsid w:val="00076C2F"/>
    <w:rsid w:val="00143769"/>
    <w:rsid w:val="001D1FFE"/>
    <w:rsid w:val="002A7ACF"/>
    <w:rsid w:val="0044745D"/>
    <w:rsid w:val="00543791"/>
    <w:rsid w:val="005D0027"/>
    <w:rsid w:val="005F1F6B"/>
    <w:rsid w:val="00600A96"/>
    <w:rsid w:val="006952D4"/>
    <w:rsid w:val="00761D30"/>
    <w:rsid w:val="008054D8"/>
    <w:rsid w:val="00835948"/>
    <w:rsid w:val="00892462"/>
    <w:rsid w:val="00992932"/>
    <w:rsid w:val="009A0CE7"/>
    <w:rsid w:val="00AB564E"/>
    <w:rsid w:val="00AC2308"/>
    <w:rsid w:val="00AF44EB"/>
    <w:rsid w:val="00C6533C"/>
    <w:rsid w:val="00EA4433"/>
    <w:rsid w:val="00EE772F"/>
    <w:rsid w:val="00FA7286"/>
    <w:rsid w:val="02DF57A3"/>
    <w:rsid w:val="0C57226F"/>
    <w:rsid w:val="0EEF3DC4"/>
    <w:rsid w:val="15155054"/>
    <w:rsid w:val="183676CB"/>
    <w:rsid w:val="248F097F"/>
    <w:rsid w:val="26BE72FA"/>
    <w:rsid w:val="2920429C"/>
    <w:rsid w:val="2ACF0DFB"/>
    <w:rsid w:val="2E5803FB"/>
    <w:rsid w:val="2E635E2E"/>
    <w:rsid w:val="39241B86"/>
    <w:rsid w:val="3CB304B6"/>
    <w:rsid w:val="433A3F6F"/>
    <w:rsid w:val="4CCD6D0D"/>
    <w:rsid w:val="50C65FC6"/>
    <w:rsid w:val="586E0B8C"/>
    <w:rsid w:val="5DFB43B4"/>
    <w:rsid w:val="5F2D1C58"/>
    <w:rsid w:val="61CF5159"/>
    <w:rsid w:val="6C1D7BEB"/>
    <w:rsid w:val="6D7B2394"/>
    <w:rsid w:val="6E5A43F7"/>
    <w:rsid w:val="713459C9"/>
    <w:rsid w:val="72CC7350"/>
    <w:rsid w:val="74CA6436"/>
    <w:rsid w:val="76720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60" w:line="256" w:lineRule="auto"/>
    </w:pPr>
    <w:rPr>
      <w:rFonts w:ascii="Calibri" w:hAnsi="Calibri" w:eastAsia="Times New Roman" w:cs="Times New Roman"/>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caption"/>
    <w:basedOn w:val="1"/>
    <w:next w:val="1"/>
    <w:qFormat/>
    <w:uiPriority w:val="99"/>
    <w:rPr>
      <w:rFonts w:ascii="Arial" w:hAnsi="Arial" w:eastAsia="SimHei" w:cs="Arial"/>
      <w:sz w:val="20"/>
      <w:szCs w:val="20"/>
    </w:rPr>
  </w:style>
  <w:style w:type="character" w:styleId="5">
    <w:name w:val="endnote reference"/>
    <w:basedOn w:val="2"/>
    <w:semiHidden/>
    <w:unhideWhenUsed/>
    <w:uiPriority w:val="99"/>
    <w:rPr>
      <w:vertAlign w:val="superscript"/>
    </w:rPr>
  </w:style>
  <w:style w:type="paragraph" w:styleId="6">
    <w:name w:val="endnote text"/>
    <w:basedOn w:val="1"/>
    <w:semiHidden/>
    <w:unhideWhenUsed/>
    <w:uiPriority w:val="99"/>
    <w:pPr>
      <w:snapToGrid w:val="0"/>
    </w:pPr>
  </w:style>
  <w:style w:type="paragraph" w:styleId="7">
    <w:name w:val="HTML Preformatted"/>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SimSun" w:hAnsi="SimSun" w:eastAsia="SimSun" w:cs="Times New Roman"/>
      <w:sz w:val="24"/>
      <w:szCs w:val="24"/>
      <w:lang w:val="en-US" w:eastAsia="zh-CN" w:bidi="ar-SA"/>
    </w:rPr>
  </w:style>
  <w:style w:type="table" w:styleId="8">
    <w:name w:val="Table Grid"/>
    <w:basedOn w:val="3"/>
    <w:unhideWhenUsed/>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15"/>
    <w:basedOn w:val="2"/>
    <w:uiPriority w:val="0"/>
    <w:rPr>
      <w:rFonts w:hint="default" w:ascii="Times New Roman" w:hAnsi="Times New Roman" w:cs="Times New Roman"/>
      <w:color w:val="0563C1"/>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CATATAN%20HARIAN%20PDP%202020\Efektivitas%20Aromaterapi%20Pepperlav%20JNKI%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B220D-D491-4F23-8B8F-7852F22ED8A7}">
  <ds:schemaRefs/>
</ds:datastoreItem>
</file>

<file path=docProps/app.xml><?xml version="1.0" encoding="utf-8"?>
<Properties xmlns="http://schemas.openxmlformats.org/officeDocument/2006/extended-properties" xmlns:vt="http://schemas.openxmlformats.org/officeDocument/2006/docPropsVTypes">
  <Template>Efektivitas Aromaterapi Pepperlav JNKI 2022</Template>
  <Pages>10</Pages>
  <Words>13052</Words>
  <Characters>74397</Characters>
  <Lines>619</Lines>
  <Paragraphs>174</Paragraphs>
  <TotalTime>105</TotalTime>
  <ScaleCrop>false</ScaleCrop>
  <LinksUpToDate>false</LinksUpToDate>
  <CharactersWithSpaces>87275</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2022-12-20T07:17:00Z</dcterms:created>
  <dc:creator>THINKPAD</dc:creator>
  <cp:lastModifiedBy>THINKPAD</cp:lastModifiedBy>
  <dcterms:modified xsi:type="dcterms:W3CDTF">2022-12-31T04:21:13Z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69a548f7-3dd2-395b-bb0e-cd961e3f96a8</vt:lpwstr>
  </property>
  <property fmtid="{D5CDD505-2E9C-101B-9397-08002B2CF9AE}" pid="24" name="Mendeley Citation Style_1">
    <vt:lpwstr>http://www.zotero.org/styles/vancouver</vt:lpwstr>
  </property>
  <property fmtid="{D5CDD505-2E9C-101B-9397-08002B2CF9AE}" pid="25" name="KSOProductBuildVer">
    <vt:lpwstr>1033-11.2.0.11440</vt:lpwstr>
  </property>
  <property fmtid="{D5CDD505-2E9C-101B-9397-08002B2CF9AE}" pid="26" name="ICV">
    <vt:lpwstr>2FCF5D61044F41E3A97F1BCF6AE83377</vt:lpwstr>
  </property>
</Properties>
</file>