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67F58" w14:paraId="25102043" w14:textId="77777777">
        <w:tc>
          <w:tcPr>
            <w:tcW w:w="9175" w:type="dxa"/>
          </w:tcPr>
          <w:p w14:paraId="700086B3" w14:textId="77777777" w:rsidR="002336B9" w:rsidRPr="00BB2ECF" w:rsidRDefault="002336B9" w:rsidP="002336B9">
            <w:pPr>
              <w:spacing w:after="0"/>
              <w:rPr>
                <w:rFonts w:ascii="Californian FB" w:hAnsi="Californian FB"/>
                <w:b/>
                <w:bCs/>
                <w:sz w:val="28"/>
                <w:szCs w:val="28"/>
              </w:rPr>
            </w:pPr>
            <w:r w:rsidRPr="00BB2ECF">
              <w:rPr>
                <w:rFonts w:ascii="Californian FB" w:hAnsi="Californian FB"/>
                <w:b/>
                <w:bCs/>
                <w:sz w:val="28"/>
                <w:szCs w:val="28"/>
              </w:rPr>
              <w:t>The Influence of Religiosity and Product Knowledge on the Intention to Purchase Halal Products</w:t>
            </w:r>
            <w:r w:rsidRPr="00BB2ECF">
              <w:rPr>
                <w:rFonts w:ascii="Californian FB" w:hAnsi="Californian FB"/>
                <w:b/>
                <w:bCs/>
                <w:sz w:val="28"/>
                <w:szCs w:val="28"/>
              </w:rPr>
              <w:br/>
              <w:t>(A Case Study on the Aqua Beverage Industry in Kerinci Regency, Jambi Province)</w:t>
            </w:r>
          </w:p>
          <w:p w14:paraId="5F3C6521" w14:textId="77777777" w:rsidR="002336B9" w:rsidRPr="00350C44" w:rsidRDefault="002336B9" w:rsidP="002336B9">
            <w:pPr>
              <w:rPr>
                <w:rFonts w:ascii="Californian FB" w:hAnsi="Californian FB"/>
                <w:sz w:val="28"/>
                <w:szCs w:val="28"/>
              </w:rPr>
            </w:pPr>
            <w:r w:rsidRPr="00350C44">
              <w:rPr>
                <w:rFonts w:ascii="Californian FB" w:hAnsi="Californian FB"/>
                <w:sz w:val="28"/>
                <w:szCs w:val="28"/>
              </w:rPr>
              <w:br/>
            </w:r>
          </w:p>
          <w:p w14:paraId="2B00969B" w14:textId="77777777" w:rsidR="002336B9" w:rsidRDefault="002336B9" w:rsidP="002336B9">
            <w:pPr>
              <w:jc w:val="both"/>
              <w:rPr>
                <w:rStyle w:val="Hyperlink"/>
              </w:rPr>
            </w:pPr>
            <w:r w:rsidRPr="00BB2ECF">
              <w:rPr>
                <w:rFonts w:ascii="Californian FB" w:hAnsi="Californian FB"/>
                <w:i/>
              </w:rPr>
              <w:t>Nasyifa1 dafiar syarif 2 yogi ahmad yani 3 Muhammad aunurrochim bin mas’ad saleh 4 Institut agama islam negeri</w:t>
            </w:r>
            <w:r>
              <w:rPr>
                <w:rFonts w:ascii="Californian FB" w:hAnsi="Californian FB"/>
                <w:i/>
              </w:rPr>
              <w:t xml:space="preserve"> </w:t>
            </w:r>
            <w:r w:rsidRPr="00BB2ECF">
              <w:rPr>
                <w:rFonts w:ascii="Californian FB" w:hAnsi="Californian FB"/>
                <w:i/>
              </w:rPr>
              <w:t>kerinci</w:t>
            </w:r>
            <w:r w:rsidRPr="00266D52">
              <w:t>e-mail:</w:t>
            </w:r>
            <w:r>
              <w:t xml:space="preserve"> </w:t>
            </w:r>
            <w:hyperlink r:id="rId8" w:history="1">
              <w:r w:rsidRPr="008122E0">
                <w:rPr>
                  <w:rStyle w:val="Hyperlink"/>
                </w:rPr>
                <w:t>nasyifa021004@gmail.com</w:t>
              </w:r>
            </w:hyperlink>
            <w:r w:rsidRPr="00266D52">
              <w:rPr>
                <w:rStyle w:val="Hyperlink"/>
              </w:rPr>
              <w:t xml:space="preserve"> </w:t>
            </w:r>
            <w:r>
              <w:rPr>
                <w:rStyle w:val="Hyperlink"/>
              </w:rPr>
              <w:t xml:space="preserve"> </w:t>
            </w:r>
          </w:p>
          <w:p w14:paraId="509E7633" w14:textId="77777777" w:rsidR="002336B9" w:rsidRPr="00266D52" w:rsidRDefault="002336B9" w:rsidP="002336B9">
            <w:pPr>
              <w:jc w:val="both"/>
              <w:rPr>
                <w:rStyle w:val="Hyperlink"/>
              </w:rPr>
            </w:pPr>
            <w:hyperlink r:id="rId9" w:history="1">
              <w:r w:rsidRPr="008122E0">
                <w:rPr>
                  <w:rStyle w:val="Hyperlink"/>
                </w:rPr>
                <w:t>Dafiarsyarif24@gmail.com</w:t>
              </w:r>
            </w:hyperlink>
            <w:r>
              <w:rPr>
                <w:rStyle w:val="Hyperlink"/>
              </w:rPr>
              <w:t xml:space="preserve">  yogiay36@gmail.com</w:t>
            </w:r>
          </w:p>
          <w:p w14:paraId="6A295DB6" w14:textId="77777777" w:rsidR="002336B9" w:rsidRPr="00266D52" w:rsidRDefault="002336B9" w:rsidP="002336B9">
            <w:pPr>
              <w:jc w:val="center"/>
              <w:rPr>
                <w:color w:val="0563C1" w:themeColor="hyperlink"/>
                <w:u w:val="single"/>
              </w:rPr>
            </w:pPr>
          </w:p>
          <w:p w14:paraId="4FFD117E" w14:textId="77777777" w:rsidR="002336B9" w:rsidRPr="00350C44" w:rsidRDefault="002336B9" w:rsidP="002336B9">
            <w:pPr>
              <w:rPr>
                <w:rStyle w:val="Hyperlink"/>
                <w:rFonts w:ascii="Californian FB" w:hAnsi="Californian FB"/>
                <w:i/>
              </w:rPr>
            </w:pPr>
            <w:r w:rsidRPr="00350C44">
              <w:rPr>
                <w:rStyle w:val="Hyperlink"/>
                <w:rFonts w:ascii="Californian FB" w:hAnsi="Californian FB"/>
                <w:i/>
              </w:rPr>
              <w:t xml:space="preserve"> </w:t>
            </w:r>
          </w:p>
          <w:p w14:paraId="1844DE48" w14:textId="6420190B" w:rsidR="00A67F58" w:rsidRPr="002336B9" w:rsidRDefault="00A67F58">
            <w:pPr>
              <w:pStyle w:val="papertitle"/>
              <w:spacing w:after="0"/>
              <w:ind w:left="0"/>
              <w:jc w:val="left"/>
              <w:rPr>
                <w:rFonts w:asciiTheme="minorHAnsi" w:hAnsiTheme="minorHAnsi" w:cstheme="minorHAnsi"/>
                <w:b/>
                <w:sz w:val="40"/>
                <w:szCs w:val="40"/>
              </w:rPr>
            </w:pPr>
          </w:p>
        </w:tc>
      </w:tr>
      <w:tr w:rsidR="00A67F58" w14:paraId="7080B227" w14:textId="77777777">
        <w:tc>
          <w:tcPr>
            <w:tcW w:w="9175" w:type="dxa"/>
          </w:tcPr>
          <w:p w14:paraId="76B27557" w14:textId="77777777" w:rsidR="00A67F58" w:rsidRDefault="00A67F58">
            <w:pPr>
              <w:pStyle w:val="Author"/>
              <w:spacing w:before="0" w:after="0"/>
              <w:ind w:left="0"/>
              <w:jc w:val="left"/>
              <w:rPr>
                <w:rFonts w:asciiTheme="minorHAnsi" w:hAnsiTheme="minorHAnsi" w:cstheme="minorHAnsi"/>
                <w:sz w:val="22"/>
                <w:szCs w:val="22"/>
              </w:rPr>
            </w:pPr>
          </w:p>
          <w:p w14:paraId="5FDE5C1D" w14:textId="25305E08" w:rsidR="00A67F58" w:rsidRDefault="00A67F58" w:rsidP="002336B9">
            <w:pPr>
              <w:pStyle w:val="Author"/>
              <w:spacing w:before="0" w:after="0"/>
              <w:ind w:left="0"/>
              <w:jc w:val="left"/>
              <w:rPr>
                <w:rFonts w:asciiTheme="minorHAnsi" w:hAnsiTheme="minorHAnsi" w:cstheme="minorHAnsi"/>
                <w:sz w:val="18"/>
                <w:szCs w:val="18"/>
              </w:rPr>
            </w:pPr>
          </w:p>
        </w:tc>
      </w:tr>
    </w:tbl>
    <w:p w14:paraId="143F7868" w14:textId="2E4DAF22" w:rsidR="00A67F58" w:rsidRDefault="00A67F58">
      <w:pPr>
        <w:pStyle w:val="Author"/>
        <w:spacing w:before="0" w:after="0"/>
        <w:ind w:left="0"/>
        <w:jc w:val="left"/>
        <w:rPr>
          <w:rFonts w:asciiTheme="minorHAnsi" w:hAnsiTheme="minorHAnsi" w:cstheme="minorHAnsi"/>
          <w:sz w:val="22"/>
          <w:szCs w:val="22"/>
        </w:rPr>
      </w:pPr>
    </w:p>
    <w:p w14:paraId="61FAF962" w14:textId="77777777" w:rsidR="00A67F58" w:rsidRDefault="00A67F58">
      <w:pPr>
        <w:pStyle w:val="Author"/>
        <w:spacing w:before="0" w:after="0"/>
        <w:ind w:left="0"/>
        <w:jc w:val="left"/>
        <w:rPr>
          <w:rFonts w:asciiTheme="minorHAnsi" w:hAnsiTheme="minorHAnsi" w:cstheme="minorHAnsi"/>
          <w:sz w:val="22"/>
          <w:szCs w:val="22"/>
        </w:rPr>
      </w:pP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A67F58" w14:paraId="5E598844" w14:textId="77777777">
        <w:tc>
          <w:tcPr>
            <w:tcW w:w="6408" w:type="dxa"/>
          </w:tcPr>
          <w:p w14:paraId="743E0901" w14:textId="77777777" w:rsidR="00A67F58" w:rsidRDefault="00825BC7">
            <w:pPr>
              <w:pStyle w:val="Abstract"/>
              <w:spacing w:before="240" w:after="240"/>
              <w:ind w:left="0"/>
              <w:jc w:val="left"/>
              <w:rPr>
                <w:rFonts w:asciiTheme="minorHAnsi" w:hAnsiTheme="minorHAnsi" w:cstheme="minorHAnsi"/>
                <w:b w:val="0"/>
                <w:iCs/>
                <w:sz w:val="22"/>
                <w:szCs w:val="22"/>
              </w:rPr>
            </w:pPr>
            <w:r>
              <w:rPr>
                <w:rFonts w:asciiTheme="minorHAnsi" w:hAnsiTheme="minorHAnsi" w:cstheme="minorHAnsi"/>
                <w:b w:val="0"/>
                <w:iCs/>
                <w:sz w:val="22"/>
                <w:szCs w:val="22"/>
              </w:rPr>
              <w:t>ABSTRACT</w:t>
            </w:r>
          </w:p>
        </w:tc>
        <w:tc>
          <w:tcPr>
            <w:tcW w:w="540" w:type="dxa"/>
            <w:tcBorders>
              <w:bottom w:val="nil"/>
            </w:tcBorders>
          </w:tcPr>
          <w:p w14:paraId="0AEC547E" w14:textId="77777777" w:rsidR="00A67F58" w:rsidRDefault="00A67F58">
            <w:pPr>
              <w:pStyle w:val="Author"/>
              <w:spacing w:before="240" w:after="240"/>
              <w:ind w:left="0"/>
              <w:rPr>
                <w:rFonts w:asciiTheme="minorHAnsi" w:hAnsiTheme="minorHAnsi" w:cstheme="minorHAnsi"/>
                <w:sz w:val="22"/>
                <w:szCs w:val="22"/>
              </w:rPr>
            </w:pPr>
          </w:p>
        </w:tc>
        <w:tc>
          <w:tcPr>
            <w:tcW w:w="2250" w:type="dxa"/>
          </w:tcPr>
          <w:p w14:paraId="27721342" w14:textId="77777777" w:rsidR="00A67F58" w:rsidRDefault="00825BC7">
            <w:pPr>
              <w:pStyle w:val="Author"/>
              <w:spacing w:before="240" w:after="240"/>
              <w:ind w:left="0"/>
              <w:jc w:val="left"/>
              <w:rPr>
                <w:rFonts w:asciiTheme="minorHAnsi" w:hAnsiTheme="minorHAnsi" w:cstheme="minorHAnsi"/>
                <w:sz w:val="22"/>
                <w:szCs w:val="22"/>
              </w:rPr>
            </w:pPr>
            <w:r>
              <w:rPr>
                <w:rFonts w:asciiTheme="minorHAnsi" w:hAnsiTheme="minorHAnsi" w:cstheme="minorHAnsi"/>
                <w:sz w:val="22"/>
                <w:szCs w:val="22"/>
              </w:rPr>
              <w:t>ARTICLE INFO</w:t>
            </w:r>
          </w:p>
        </w:tc>
      </w:tr>
      <w:tr w:rsidR="00A67F58" w14:paraId="0F9B7F7B" w14:textId="77777777">
        <w:tc>
          <w:tcPr>
            <w:tcW w:w="6408" w:type="dxa"/>
          </w:tcPr>
          <w:p w14:paraId="1EE4B773" w14:textId="77777777" w:rsidR="002336B9" w:rsidRPr="00BB2ECF" w:rsidRDefault="002336B9" w:rsidP="002336B9">
            <w:pPr>
              <w:jc w:val="both"/>
              <w:rPr>
                <w:rFonts w:ascii="Californian FB" w:hAnsi="Californian FB"/>
              </w:rPr>
            </w:pPr>
            <w:r w:rsidRPr="00BB2ECF">
              <w:rPr>
                <w:rFonts w:ascii="Californian FB" w:hAnsi="Californian FB"/>
              </w:rPr>
              <w:t>Abstract</w:t>
            </w:r>
          </w:p>
          <w:p w14:paraId="475E8634" w14:textId="77777777" w:rsidR="002336B9" w:rsidRPr="00BB2ECF" w:rsidRDefault="002336B9" w:rsidP="002336B9">
            <w:pPr>
              <w:jc w:val="both"/>
              <w:rPr>
                <w:rFonts w:ascii="Californian FB" w:hAnsi="Californian FB"/>
              </w:rPr>
            </w:pPr>
            <w:r w:rsidRPr="00BB2ECF">
              <w:rPr>
                <w:rFonts w:ascii="Californian FB" w:hAnsi="Californian FB"/>
              </w:rPr>
              <w:t xml:space="preserve">The consumption of halal products is increasingly significant in society, especially for consumers considering the halal aspect in their </w:t>
            </w:r>
            <w:proofErr w:type="gramStart"/>
            <w:r w:rsidRPr="00BB2ECF">
              <w:rPr>
                <w:rFonts w:ascii="Californian FB" w:hAnsi="Californian FB"/>
              </w:rPr>
              <w:t>purchases.This</w:t>
            </w:r>
            <w:proofErr w:type="gramEnd"/>
            <w:r w:rsidRPr="00BB2ECF">
              <w:rPr>
                <w:rFonts w:ascii="Californian FB" w:hAnsi="Californian FB"/>
              </w:rPr>
              <w:t xml:space="preserve"> research The objective is to evaluate how religiosity and product knowledge influence intention. to purchase halal products in Kerinci Regency, Jambi Province.The study employs Google Form for data collection, With a participant pool consisting of a total of 91 </w:t>
            </w:r>
            <w:proofErr w:type="gramStart"/>
            <w:r w:rsidRPr="00BB2ECF">
              <w:rPr>
                <w:rFonts w:ascii="Californian FB" w:hAnsi="Californian FB"/>
              </w:rPr>
              <w:t>respondents.The</w:t>
            </w:r>
            <w:proofErr w:type="gramEnd"/>
            <w:r w:rsidRPr="00BB2ECF">
              <w:rPr>
                <w:rFonts w:ascii="Californian FB" w:hAnsi="Californian FB"/>
              </w:rPr>
              <w:t xml:space="preserve"> examination is performed utilizing Multiple linear regression facilitated by IBM software</w:t>
            </w:r>
          </w:p>
          <w:p w14:paraId="104F410D" w14:textId="77777777" w:rsidR="002336B9" w:rsidRPr="00BB2ECF" w:rsidRDefault="002336B9" w:rsidP="002336B9">
            <w:pPr>
              <w:jc w:val="both"/>
              <w:rPr>
                <w:rFonts w:ascii="Californian FB" w:hAnsi="Californian FB"/>
              </w:rPr>
            </w:pPr>
          </w:p>
          <w:p w14:paraId="2AAE1347" w14:textId="77777777" w:rsidR="00A67F58" w:rsidRDefault="00A67F58">
            <w:pPr>
              <w:pStyle w:val="Author"/>
              <w:spacing w:before="0" w:after="0"/>
              <w:ind w:left="0"/>
              <w:rPr>
                <w:rFonts w:asciiTheme="minorHAnsi" w:hAnsiTheme="minorHAnsi" w:cstheme="minorHAnsi"/>
                <w:sz w:val="22"/>
                <w:szCs w:val="22"/>
              </w:rPr>
            </w:pPr>
          </w:p>
          <w:p w14:paraId="1EB97D06" w14:textId="77777777" w:rsidR="00FE0059" w:rsidRDefault="00FE0059">
            <w:pPr>
              <w:pStyle w:val="Author"/>
              <w:spacing w:before="0" w:after="0"/>
              <w:ind w:left="0"/>
              <w:rPr>
                <w:rFonts w:asciiTheme="minorHAnsi" w:hAnsiTheme="minorHAnsi" w:cstheme="minorHAnsi"/>
                <w:sz w:val="22"/>
                <w:szCs w:val="22"/>
              </w:rPr>
            </w:pPr>
          </w:p>
          <w:p w14:paraId="494B2699" w14:textId="77777777" w:rsidR="00FE0059" w:rsidRDefault="00FE0059">
            <w:pPr>
              <w:pStyle w:val="Author"/>
              <w:spacing w:before="0" w:after="0"/>
              <w:ind w:left="0"/>
              <w:rPr>
                <w:rFonts w:asciiTheme="minorHAnsi" w:hAnsiTheme="minorHAnsi" w:cstheme="minorHAnsi"/>
                <w:sz w:val="22"/>
                <w:szCs w:val="22"/>
              </w:rPr>
            </w:pPr>
          </w:p>
          <w:p w14:paraId="276A6545" w14:textId="77777777" w:rsidR="00FE0059" w:rsidRDefault="00FE0059">
            <w:pPr>
              <w:pStyle w:val="Author"/>
              <w:spacing w:before="0" w:after="0"/>
              <w:ind w:left="0"/>
              <w:rPr>
                <w:rFonts w:asciiTheme="minorHAnsi" w:hAnsiTheme="minorHAnsi" w:cstheme="minorHAnsi"/>
                <w:sz w:val="22"/>
                <w:szCs w:val="22"/>
              </w:rPr>
            </w:pPr>
          </w:p>
          <w:p w14:paraId="3C946170" w14:textId="77777777" w:rsidR="00FE0059" w:rsidRDefault="00FE0059">
            <w:pPr>
              <w:pStyle w:val="Author"/>
              <w:spacing w:before="0" w:after="0"/>
              <w:ind w:left="0"/>
              <w:rPr>
                <w:rFonts w:asciiTheme="minorHAnsi" w:hAnsiTheme="minorHAnsi" w:cstheme="minorHAnsi"/>
                <w:sz w:val="22"/>
                <w:szCs w:val="22"/>
              </w:rPr>
            </w:pPr>
          </w:p>
          <w:p w14:paraId="562ACE6C" w14:textId="77777777" w:rsidR="00FE0059" w:rsidRDefault="00FE0059">
            <w:pPr>
              <w:pStyle w:val="Author"/>
              <w:spacing w:before="0" w:after="0"/>
              <w:ind w:left="0"/>
              <w:rPr>
                <w:rFonts w:asciiTheme="minorHAnsi" w:hAnsiTheme="minorHAnsi" w:cstheme="minorHAnsi"/>
                <w:sz w:val="22"/>
                <w:szCs w:val="22"/>
              </w:rPr>
            </w:pPr>
          </w:p>
          <w:p w14:paraId="37253344" w14:textId="77777777" w:rsidR="00FE0059" w:rsidRDefault="00FE0059">
            <w:pPr>
              <w:pStyle w:val="Author"/>
              <w:spacing w:before="0" w:after="0"/>
              <w:ind w:left="0"/>
              <w:rPr>
                <w:rFonts w:asciiTheme="minorHAnsi" w:hAnsiTheme="minorHAnsi" w:cstheme="minorHAnsi"/>
                <w:sz w:val="22"/>
                <w:szCs w:val="22"/>
              </w:rPr>
            </w:pPr>
          </w:p>
          <w:p w14:paraId="2C34A60D" w14:textId="77777777" w:rsidR="00FE0059" w:rsidRDefault="00FE0059">
            <w:pPr>
              <w:pStyle w:val="Author"/>
              <w:spacing w:before="0" w:after="0"/>
              <w:ind w:left="0"/>
              <w:rPr>
                <w:rFonts w:asciiTheme="minorHAnsi" w:hAnsiTheme="minorHAnsi" w:cstheme="minorHAnsi"/>
                <w:sz w:val="22"/>
                <w:szCs w:val="22"/>
              </w:rPr>
            </w:pPr>
          </w:p>
          <w:p w14:paraId="0DCBEDB7" w14:textId="77777777" w:rsidR="00FE0059" w:rsidRDefault="00FE0059">
            <w:pPr>
              <w:pStyle w:val="Author"/>
              <w:spacing w:before="0" w:after="0"/>
              <w:ind w:left="0"/>
              <w:rPr>
                <w:rFonts w:asciiTheme="minorHAnsi" w:hAnsiTheme="minorHAnsi" w:cstheme="minorHAnsi"/>
                <w:sz w:val="22"/>
                <w:szCs w:val="22"/>
              </w:rPr>
            </w:pPr>
          </w:p>
          <w:p w14:paraId="0708A9A2" w14:textId="77777777" w:rsidR="00FE0059" w:rsidRDefault="00FE0059">
            <w:pPr>
              <w:pStyle w:val="Author"/>
              <w:spacing w:before="0" w:after="0"/>
              <w:ind w:left="0"/>
              <w:rPr>
                <w:rFonts w:asciiTheme="minorHAnsi" w:hAnsiTheme="minorHAnsi" w:cstheme="minorHAnsi"/>
                <w:sz w:val="22"/>
                <w:szCs w:val="22"/>
              </w:rPr>
            </w:pPr>
          </w:p>
        </w:tc>
        <w:tc>
          <w:tcPr>
            <w:tcW w:w="540" w:type="dxa"/>
            <w:tcBorders>
              <w:top w:val="nil"/>
              <w:bottom w:val="nil"/>
            </w:tcBorders>
          </w:tcPr>
          <w:p w14:paraId="72605E6D" w14:textId="77777777" w:rsidR="00A67F58" w:rsidRDefault="00A67F58">
            <w:pPr>
              <w:pStyle w:val="Author"/>
              <w:spacing w:before="0" w:after="0"/>
              <w:ind w:left="0"/>
              <w:jc w:val="left"/>
              <w:rPr>
                <w:rFonts w:asciiTheme="minorHAnsi" w:hAnsiTheme="minorHAnsi" w:cstheme="minorHAnsi"/>
                <w:sz w:val="22"/>
                <w:szCs w:val="22"/>
              </w:rPr>
            </w:pPr>
          </w:p>
        </w:tc>
        <w:tc>
          <w:tcPr>
            <w:tcW w:w="2250" w:type="dxa"/>
          </w:tcPr>
          <w:p w14:paraId="2D27A2A7" w14:textId="77777777" w:rsidR="00D33848" w:rsidRDefault="00D33848">
            <w:pPr>
              <w:pStyle w:val="keywords"/>
              <w:tabs>
                <w:tab w:val="left" w:pos="1530"/>
              </w:tabs>
              <w:spacing w:before="240" w:after="0"/>
              <w:ind w:left="0" w:firstLine="0"/>
              <w:jc w:val="left"/>
              <w:rPr>
                <w:rFonts w:asciiTheme="minorHAnsi" w:hAnsiTheme="minorHAnsi" w:cstheme="minorHAnsi"/>
                <w:b w:val="0"/>
                <w:i w:val="0"/>
                <w:sz w:val="20"/>
                <w:szCs w:val="20"/>
              </w:rPr>
            </w:pPr>
          </w:p>
          <w:p w14:paraId="76136CBD" w14:textId="6D31DE3C" w:rsidR="00A67F58" w:rsidRDefault="00825BC7">
            <w:pPr>
              <w:pStyle w:val="keywords"/>
              <w:tabs>
                <w:tab w:val="left" w:pos="1530"/>
              </w:tabs>
              <w:spacing w:before="240"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 xml:space="preserve">Keywords: </w:t>
            </w:r>
          </w:p>
          <w:p w14:paraId="3730F5E2" w14:textId="6BE8E1B2" w:rsidR="00A67F58" w:rsidRPr="002336B9" w:rsidRDefault="002336B9" w:rsidP="002336B9">
            <w:pPr>
              <w:jc w:val="both"/>
              <w:rPr>
                <w:rFonts w:ascii="Californian FB" w:hAnsi="Californian FB"/>
              </w:rPr>
            </w:pPr>
            <w:r w:rsidRPr="00BB2ECF">
              <w:rPr>
                <w:rFonts w:ascii="Californian FB" w:hAnsi="Californian FB"/>
              </w:rPr>
              <w:t xml:space="preserve">Keywords:  religiosity, product </w:t>
            </w:r>
            <w:proofErr w:type="gramStart"/>
            <w:r w:rsidRPr="00BB2ECF">
              <w:rPr>
                <w:rFonts w:ascii="Californian FB" w:hAnsi="Californian FB"/>
              </w:rPr>
              <w:t>knowledge,and</w:t>
            </w:r>
            <w:proofErr w:type="gramEnd"/>
            <w:r w:rsidRPr="00BB2ECF">
              <w:rPr>
                <w:rFonts w:ascii="Californian FB" w:hAnsi="Californian FB"/>
              </w:rPr>
              <w:t xml:space="preserve"> purchasing halal products</w:t>
            </w:r>
          </w:p>
          <w:p w14:paraId="72C01821" w14:textId="77777777" w:rsidR="00D33848" w:rsidRPr="00D33848" w:rsidRDefault="00D33848" w:rsidP="00D33848">
            <w:pPr>
              <w:spacing w:after="0"/>
              <w:rPr>
                <w:rFonts w:cstheme="minorHAnsi"/>
                <w:b/>
                <w:bCs/>
                <w:sz w:val="20"/>
                <w:szCs w:val="20"/>
              </w:rPr>
            </w:pPr>
            <w:r w:rsidRPr="00D33848">
              <w:rPr>
                <w:rFonts w:cstheme="minorHAnsi"/>
                <w:b/>
                <w:bCs/>
                <w:sz w:val="20"/>
                <w:szCs w:val="20"/>
              </w:rPr>
              <w:t>Dates:</w:t>
            </w:r>
          </w:p>
          <w:p w14:paraId="4E6AAD30" w14:textId="77777777" w:rsidR="00D33848" w:rsidRPr="00D33848" w:rsidRDefault="00D33848" w:rsidP="00D33848">
            <w:pPr>
              <w:spacing w:after="0"/>
              <w:rPr>
                <w:rFonts w:cstheme="minorHAnsi"/>
                <w:sz w:val="20"/>
                <w:szCs w:val="20"/>
              </w:rPr>
            </w:pPr>
            <w:r w:rsidRPr="00D33848">
              <w:rPr>
                <w:rFonts w:cstheme="minorHAnsi"/>
                <w:sz w:val="20"/>
                <w:szCs w:val="20"/>
              </w:rPr>
              <w:t>Received 15 June, 2024</w:t>
            </w:r>
          </w:p>
          <w:p w14:paraId="6D82E65F" w14:textId="77777777" w:rsidR="00D33848" w:rsidRPr="00D33848" w:rsidRDefault="00D33848" w:rsidP="00D33848">
            <w:pPr>
              <w:spacing w:after="0"/>
              <w:rPr>
                <w:rFonts w:cstheme="minorHAnsi"/>
                <w:sz w:val="20"/>
                <w:szCs w:val="20"/>
              </w:rPr>
            </w:pPr>
            <w:r w:rsidRPr="00D33848">
              <w:rPr>
                <w:rFonts w:cstheme="minorHAnsi"/>
                <w:sz w:val="20"/>
                <w:szCs w:val="20"/>
              </w:rPr>
              <w:t>Revised 20 June, 2024</w:t>
            </w:r>
          </w:p>
          <w:p w14:paraId="51CCC5D8" w14:textId="77777777" w:rsidR="00D33848" w:rsidRPr="00D33848" w:rsidRDefault="00D33848" w:rsidP="00D33848">
            <w:pPr>
              <w:spacing w:after="0"/>
              <w:rPr>
                <w:rFonts w:cstheme="minorHAnsi"/>
                <w:sz w:val="20"/>
                <w:szCs w:val="20"/>
              </w:rPr>
            </w:pPr>
            <w:r w:rsidRPr="00D33848">
              <w:rPr>
                <w:rFonts w:cstheme="minorHAnsi"/>
                <w:sz w:val="20"/>
                <w:szCs w:val="20"/>
              </w:rPr>
              <w:t>Accepted 29 June, 2024</w:t>
            </w:r>
          </w:p>
          <w:p w14:paraId="37CEC8B6" w14:textId="77777777" w:rsidR="00D33848" w:rsidRPr="00D33848" w:rsidRDefault="00D33848" w:rsidP="00D33848">
            <w:pPr>
              <w:spacing w:after="0"/>
              <w:rPr>
                <w:rFonts w:cstheme="minorHAnsi"/>
                <w:sz w:val="20"/>
                <w:szCs w:val="20"/>
              </w:rPr>
            </w:pPr>
            <w:r w:rsidRPr="00D33848">
              <w:rPr>
                <w:rFonts w:cstheme="minorHAnsi"/>
                <w:sz w:val="20"/>
                <w:szCs w:val="20"/>
              </w:rPr>
              <w:t>Published 30 June, 2024</w:t>
            </w:r>
          </w:p>
          <w:p w14:paraId="33A597DF" w14:textId="77777777" w:rsidR="00D33848" w:rsidRDefault="00D33848">
            <w:pPr>
              <w:pStyle w:val="keywords"/>
              <w:tabs>
                <w:tab w:val="left" w:pos="1530"/>
              </w:tabs>
              <w:spacing w:before="240" w:after="0"/>
              <w:ind w:left="0" w:firstLine="0"/>
              <w:jc w:val="left"/>
              <w:rPr>
                <w:rFonts w:asciiTheme="minorHAnsi" w:hAnsiTheme="minorHAnsi" w:cstheme="minorHAnsi"/>
                <w:b w:val="0"/>
                <w:i w:val="0"/>
                <w:sz w:val="22"/>
                <w:szCs w:val="22"/>
              </w:rPr>
            </w:pPr>
          </w:p>
          <w:p w14:paraId="6C55B5B7" w14:textId="77777777" w:rsidR="00A67F58" w:rsidRDefault="00825BC7">
            <w:pPr>
              <w:pStyle w:val="keywords"/>
              <w:spacing w:before="240"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 xml:space="preserve">JEL Code: </w:t>
            </w:r>
          </w:p>
          <w:p w14:paraId="2F292CC9" w14:textId="77777777" w:rsidR="00A67F58" w:rsidRDefault="00825BC7">
            <w:pPr>
              <w:pStyle w:val="keywords"/>
              <w:spacing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D13, I31, J22, K31</w:t>
            </w:r>
          </w:p>
          <w:p w14:paraId="59A7E5DF" w14:textId="77777777" w:rsidR="00A67F58" w:rsidRDefault="00A67F58">
            <w:pPr>
              <w:pStyle w:val="keywords"/>
              <w:tabs>
                <w:tab w:val="left" w:pos="1530"/>
              </w:tabs>
              <w:spacing w:after="0"/>
              <w:ind w:left="0" w:firstLine="0"/>
              <w:jc w:val="left"/>
              <w:rPr>
                <w:rFonts w:asciiTheme="minorHAnsi" w:hAnsiTheme="minorHAnsi" w:cstheme="minorHAnsi"/>
                <w:b w:val="0"/>
                <w:i w:val="0"/>
                <w:sz w:val="22"/>
                <w:szCs w:val="22"/>
              </w:rPr>
            </w:pPr>
          </w:p>
          <w:p w14:paraId="192A8776" w14:textId="77777777" w:rsidR="00A67F58" w:rsidRDefault="00A67F58">
            <w:pPr>
              <w:pStyle w:val="Author"/>
              <w:spacing w:before="0" w:after="0"/>
              <w:ind w:left="0"/>
              <w:jc w:val="left"/>
              <w:rPr>
                <w:rFonts w:asciiTheme="minorHAnsi" w:hAnsiTheme="minorHAnsi" w:cstheme="minorHAnsi"/>
                <w:sz w:val="22"/>
                <w:szCs w:val="22"/>
              </w:rPr>
            </w:pPr>
          </w:p>
        </w:tc>
      </w:tr>
      <w:tr w:rsidR="00A67F58" w14:paraId="775E1252" w14:textId="77777777">
        <w:tc>
          <w:tcPr>
            <w:tcW w:w="9198" w:type="dxa"/>
            <w:gridSpan w:val="3"/>
          </w:tcPr>
          <w:p w14:paraId="3BAA0471" w14:textId="77777777" w:rsidR="00FE0059" w:rsidRDefault="00FE0059" w:rsidP="00B56E27">
            <w:pPr>
              <w:spacing w:after="0"/>
              <w:rPr>
                <w:rFonts w:cstheme="minorHAnsi"/>
                <w:b/>
                <w:bCs/>
                <w:sz w:val="20"/>
                <w:szCs w:val="20"/>
              </w:rPr>
            </w:pPr>
          </w:p>
          <w:p w14:paraId="17538904" w14:textId="735C6C0C" w:rsidR="00B56E27" w:rsidRPr="00035461" w:rsidRDefault="00B56E27" w:rsidP="00B56E27">
            <w:pPr>
              <w:spacing w:after="0"/>
              <w:rPr>
                <w:rFonts w:cstheme="minorHAnsi"/>
                <w:b/>
                <w:bCs/>
                <w:sz w:val="20"/>
                <w:szCs w:val="20"/>
              </w:rPr>
            </w:pPr>
            <w:r w:rsidRPr="00035461">
              <w:rPr>
                <w:rFonts w:cstheme="minorHAnsi"/>
                <w:b/>
                <w:bCs/>
                <w:sz w:val="20"/>
                <w:szCs w:val="20"/>
              </w:rPr>
              <w:t xml:space="preserve">Copyright: </w:t>
            </w:r>
            <w:r w:rsidRPr="00035461">
              <w:rPr>
                <w:rFonts w:cstheme="minorHAnsi"/>
                <w:sz w:val="20"/>
                <w:szCs w:val="20"/>
              </w:rPr>
              <w:t>© 2025. Author/s</w:t>
            </w:r>
            <w:r w:rsidRPr="00035461">
              <w:rPr>
                <w:rFonts w:cstheme="minorHAnsi"/>
                <w:b/>
                <w:bCs/>
                <w:sz w:val="20"/>
                <w:szCs w:val="20"/>
              </w:rPr>
              <w:t xml:space="preserve"> </w:t>
            </w:r>
            <w:r w:rsidRPr="00035461">
              <w:rPr>
                <w:rFonts w:cstheme="minorHAnsi"/>
                <w:sz w:val="20"/>
                <w:szCs w:val="20"/>
              </w:rPr>
              <w:t>This work is licensed</w:t>
            </w:r>
            <w:r w:rsidRPr="00035461">
              <w:rPr>
                <w:rFonts w:cstheme="minorHAnsi"/>
                <w:b/>
                <w:bCs/>
                <w:sz w:val="20"/>
                <w:szCs w:val="20"/>
              </w:rPr>
              <w:t xml:space="preserve"> </w:t>
            </w:r>
            <w:r w:rsidRPr="00013302">
              <w:rPr>
                <w:rFonts w:cstheme="minorHAnsi"/>
                <w:sz w:val="20"/>
                <w:szCs w:val="20"/>
              </w:rPr>
              <w:t>under  </w:t>
            </w:r>
            <w:hyperlink r:id="rId10" w:tgtFrame="_blank" w:history="1">
              <w:r w:rsidRPr="00013302">
                <w:rPr>
                  <w:rStyle w:val="Hyperlink"/>
                  <w:rFonts w:cstheme="minorHAnsi"/>
                  <w:sz w:val="20"/>
                  <w:szCs w:val="20"/>
                  <w:u w:val="none"/>
                </w:rPr>
                <w:t xml:space="preserve">Attribution-ShareAlike 4.0 International  </w:t>
              </w:r>
            </w:hyperlink>
            <w:r w:rsidRPr="00013302">
              <w:rPr>
                <w:rFonts w:cstheme="minorHAnsi"/>
                <w:sz w:val="20"/>
                <w:szCs w:val="20"/>
              </w:rPr>
              <w:t xml:space="preserve"> </w:t>
            </w:r>
          </w:p>
          <w:p w14:paraId="7ABC0FFA" w14:textId="77777777" w:rsidR="00B56E27" w:rsidRPr="00CF4AB5" w:rsidRDefault="00B56E27" w:rsidP="00B56E27">
            <w:pPr>
              <w:spacing w:after="0"/>
              <w:rPr>
                <w:rFonts w:ascii="Goudy Old Style" w:hAnsi="Goudy Old Style"/>
              </w:rPr>
            </w:pPr>
            <w:r w:rsidRPr="00CF4AB5">
              <w:rPr>
                <w:rFonts w:ascii="Goudy Old Style" w:hAnsi="Goudy Old Style"/>
                <w:noProof/>
              </w:rPr>
              <w:lastRenderedPageBreak/>
              <w:drawing>
                <wp:inline distT="0" distB="0" distL="0" distR="0" wp14:anchorId="60269595" wp14:editId="20C83CFD">
                  <wp:extent cx="990428" cy="349250"/>
                  <wp:effectExtent l="0" t="0" r="635" b="0"/>
                  <wp:docPr id="2048099128" name="Picture 204809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1516" name="Picture 11521915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718" cy="353584"/>
                          </a:xfrm>
                          <a:prstGeom prst="rect">
                            <a:avLst/>
                          </a:prstGeom>
                        </pic:spPr>
                      </pic:pic>
                    </a:graphicData>
                  </a:graphic>
                </wp:inline>
              </w:drawing>
            </w:r>
          </w:p>
          <w:p w14:paraId="0F080EE9" w14:textId="77777777" w:rsidR="00A67F58" w:rsidRDefault="00A67F58">
            <w:pPr>
              <w:spacing w:after="0" w:line="240" w:lineRule="auto"/>
              <w:jc w:val="both"/>
              <w:rPr>
                <w:rFonts w:cstheme="minorHAnsi"/>
              </w:rPr>
            </w:pPr>
          </w:p>
          <w:p w14:paraId="4330BB17" w14:textId="77777777" w:rsidR="00A67F58" w:rsidRDefault="00825BC7">
            <w:pPr>
              <w:spacing w:after="0" w:line="240" w:lineRule="auto"/>
              <w:jc w:val="both"/>
              <w:rPr>
                <w:rFonts w:cstheme="minorHAnsi"/>
              </w:rPr>
            </w:pPr>
            <w:r>
              <w:rPr>
                <w:rFonts w:cstheme="minorHAnsi"/>
              </w:rPr>
              <w:t>___________</w:t>
            </w:r>
          </w:p>
          <w:p w14:paraId="3F862EE8" w14:textId="3100B1E3" w:rsidR="00A67F58" w:rsidRDefault="00825BC7">
            <w:pPr>
              <w:pStyle w:val="Footer"/>
              <w:ind w:left="162" w:hanging="162"/>
              <w:rPr>
                <w:rFonts w:cstheme="minorHAnsi"/>
                <w:sz w:val="18"/>
                <w:szCs w:val="18"/>
              </w:rPr>
            </w:pPr>
            <w:r>
              <w:rPr>
                <w:rFonts w:cstheme="minorHAnsi"/>
              </w:rPr>
              <w:t xml:space="preserve">* </w:t>
            </w:r>
            <w:r>
              <w:rPr>
                <w:rFonts w:cstheme="minorHAnsi"/>
                <w:sz w:val="18"/>
                <w:szCs w:val="18"/>
              </w:rPr>
              <w:t xml:space="preserve">Corresponding Author at Department of Economics, Faculty of Economics and Business, Universitas </w:t>
            </w:r>
            <w:r w:rsidR="00D33848">
              <w:rPr>
                <w:rFonts w:cstheme="minorHAnsi"/>
                <w:sz w:val="18"/>
                <w:szCs w:val="18"/>
              </w:rPr>
              <w:t>Alma Ata</w:t>
            </w:r>
            <w:r w:rsidR="008029F1">
              <w:rPr>
                <w:rFonts w:cstheme="minorHAnsi"/>
                <w:sz w:val="18"/>
                <w:szCs w:val="18"/>
              </w:rPr>
              <w:t xml:space="preserve">, </w:t>
            </w:r>
            <w:r>
              <w:rPr>
                <w:rFonts w:cstheme="minorHAnsi"/>
                <w:sz w:val="18"/>
                <w:szCs w:val="18"/>
              </w:rPr>
              <w:t xml:space="preserve">Yogyakarta 55182, Indonesia.   </w:t>
            </w:r>
          </w:p>
          <w:p w14:paraId="19C2540C" w14:textId="77777777" w:rsidR="00A67F58" w:rsidRDefault="00825BC7">
            <w:pPr>
              <w:pStyle w:val="Footer"/>
              <w:ind w:left="162" w:hanging="162"/>
              <w:rPr>
                <w:rFonts w:cstheme="minorHAnsi"/>
                <w:sz w:val="18"/>
                <w:szCs w:val="18"/>
              </w:rPr>
            </w:pPr>
            <w:r>
              <w:rPr>
                <w:rFonts w:cstheme="minorHAnsi"/>
                <w:sz w:val="18"/>
                <w:szCs w:val="18"/>
              </w:rPr>
              <w:t xml:space="preserve">    E-mail address: </w:t>
            </w:r>
            <w:r>
              <w:rPr>
                <w:rFonts w:cstheme="minorHAnsi"/>
                <w:color w:val="00B0F0"/>
                <w:sz w:val="18"/>
                <w:szCs w:val="18"/>
              </w:rPr>
              <w:t xml:space="preserve">author@email.com </w:t>
            </w:r>
            <w:r>
              <w:rPr>
                <w:rFonts w:cstheme="minorHAnsi"/>
                <w:sz w:val="18"/>
                <w:szCs w:val="18"/>
              </w:rPr>
              <w:t xml:space="preserve">(author#1), </w:t>
            </w:r>
            <w:r>
              <w:rPr>
                <w:rFonts w:cstheme="minorHAnsi"/>
                <w:color w:val="00B0F0"/>
                <w:sz w:val="18"/>
                <w:szCs w:val="18"/>
              </w:rPr>
              <w:t xml:space="preserve">author2@email.com </w:t>
            </w:r>
            <w:r>
              <w:rPr>
                <w:rFonts w:cstheme="minorHAnsi"/>
                <w:sz w:val="18"/>
                <w:szCs w:val="18"/>
              </w:rPr>
              <w:t xml:space="preserve">(author#2), </w:t>
            </w:r>
            <w:r>
              <w:rPr>
                <w:rFonts w:cstheme="minorHAnsi"/>
                <w:color w:val="00B0F0"/>
                <w:sz w:val="18"/>
                <w:szCs w:val="18"/>
              </w:rPr>
              <w:t xml:space="preserve">author3@email.com </w:t>
            </w:r>
            <w:r>
              <w:rPr>
                <w:rFonts w:cstheme="minorHAnsi"/>
                <w:sz w:val="18"/>
                <w:szCs w:val="18"/>
              </w:rPr>
              <w:t>(author#3)</w:t>
            </w:r>
          </w:p>
          <w:p w14:paraId="4F1F1B10" w14:textId="77777777" w:rsidR="00A67F58" w:rsidRDefault="00A67F58">
            <w:pPr>
              <w:pStyle w:val="Footer"/>
              <w:ind w:left="162" w:hanging="162"/>
              <w:rPr>
                <w:rFonts w:cstheme="minorHAnsi"/>
                <w:sz w:val="18"/>
                <w:szCs w:val="18"/>
              </w:rPr>
            </w:pPr>
          </w:p>
        </w:tc>
      </w:tr>
    </w:tbl>
    <w:p w14:paraId="28A789C1" w14:textId="77777777" w:rsidR="00A67F58" w:rsidRDefault="00A67F58">
      <w:pPr>
        <w:spacing w:line="240" w:lineRule="auto"/>
        <w:rPr>
          <w:rFonts w:cstheme="minorHAnsi"/>
        </w:rPr>
      </w:pPr>
    </w:p>
    <w:p w14:paraId="7A26FF8A" w14:textId="77777777" w:rsidR="002227B5" w:rsidRDefault="002227B5">
      <w:pPr>
        <w:spacing w:line="240" w:lineRule="auto"/>
        <w:rPr>
          <w:rFonts w:cstheme="minorHAnsi"/>
        </w:rPr>
      </w:pPr>
    </w:p>
    <w:p w14:paraId="6B1F1592" w14:textId="77777777" w:rsidR="002227B5" w:rsidRDefault="002227B5">
      <w:pPr>
        <w:spacing w:line="240" w:lineRule="auto"/>
        <w:rPr>
          <w:rFonts w:cstheme="minorHAnsi"/>
        </w:rPr>
      </w:pPr>
    </w:p>
    <w:p w14:paraId="5C3E7FC9" w14:textId="77777777" w:rsidR="002227B5" w:rsidRDefault="002227B5">
      <w:pPr>
        <w:spacing w:line="240" w:lineRule="auto"/>
        <w:rPr>
          <w:rFonts w:cstheme="minorHAnsi"/>
        </w:rPr>
      </w:pPr>
    </w:p>
    <w:p w14:paraId="6EF1C800" w14:textId="77777777" w:rsidR="002227B5" w:rsidRDefault="002227B5">
      <w:pPr>
        <w:spacing w:line="240" w:lineRule="auto"/>
        <w:rPr>
          <w:rFonts w:cstheme="minorHAnsi"/>
        </w:rPr>
        <w:sectPr w:rsidR="002227B5" w:rsidSect="00A17813">
          <w:headerReference w:type="default" r:id="rId12"/>
          <w:pgSz w:w="11907" w:h="16840"/>
          <w:pgMar w:top="1701" w:right="1197" w:bottom="1418" w:left="1418" w:header="1077" w:footer="1134" w:gutter="0"/>
          <w:pgNumType w:start="99"/>
          <w:cols w:space="720"/>
          <w:docGrid w:linePitch="360"/>
        </w:sectPr>
      </w:pPr>
    </w:p>
    <w:p w14:paraId="04A2C066" w14:textId="77777777" w:rsidR="002227B5" w:rsidRPr="00472193" w:rsidRDefault="002227B5" w:rsidP="002227B5">
      <w:pPr>
        <w:pStyle w:val="ListParagraph"/>
        <w:numPr>
          <w:ilvl w:val="0"/>
          <w:numId w:val="6"/>
        </w:numPr>
        <w:jc w:val="both"/>
        <w:rPr>
          <w:rFonts w:ascii="Californian FB" w:hAnsi="Californian FB"/>
          <w:b/>
        </w:rPr>
      </w:pPr>
      <w:r w:rsidRPr="00472193">
        <w:rPr>
          <w:rFonts w:ascii="Californian FB" w:hAnsi="Californian FB"/>
          <w:b/>
        </w:rPr>
        <w:t>Introduction</w:t>
      </w:r>
    </w:p>
    <w:p w14:paraId="72BBBD6D" w14:textId="77777777" w:rsidR="002227B5" w:rsidRPr="00CB4BE7" w:rsidRDefault="002227B5" w:rsidP="002227B5">
      <w:pPr>
        <w:ind w:firstLine="426"/>
        <w:jc w:val="both"/>
        <w:rPr>
          <w:rFonts w:ascii="Californian FB" w:hAnsi="Californian FB"/>
          <w:bCs/>
        </w:rPr>
      </w:pPr>
      <w:bookmarkStart w:id="0" w:name="_Hlk187506040"/>
      <w:r w:rsidRPr="00CB4BE7">
        <w:rPr>
          <w:rFonts w:ascii="Californian FB" w:hAnsi="Californian FB"/>
          <w:bCs/>
        </w:rPr>
        <w:t>Indonesia, as one of the countries with the largest Muslim populations in the world, reached 240.62 million people in 2023 (Pew Research Center). The presence of such a significant Muslim population has driven the demand for halal products, prompting the government to issue Law No. 33 of 2014 on Halal Product Guarantee, which regulates halal certification. However, this regulation has yet to reach small culinary businesses, as they are required to incur additional costs to obtain halal certification for their products. This issue has become a challenge for the people of Kerinci District and Jambi Province (Dan et al., 2020).</w:t>
      </w:r>
    </w:p>
    <w:p w14:paraId="275EFD87" w14:textId="77777777" w:rsidR="002227B5" w:rsidRPr="00CB4BE7" w:rsidRDefault="002227B5" w:rsidP="002227B5">
      <w:pPr>
        <w:pStyle w:val="ListParagraph"/>
        <w:ind w:left="426"/>
        <w:jc w:val="both"/>
        <w:rPr>
          <w:rFonts w:ascii="Californian FB" w:hAnsi="Californian FB"/>
          <w:bCs/>
        </w:rPr>
      </w:pPr>
    </w:p>
    <w:p w14:paraId="0230F27F"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Kerinci District, located in the westernmost part of Jambi Province, Indonesia, is a major tourist destination in the region and is often referred to as the "fistful of paradise." Since 2021, the district's capital has been relocated to Sulak, while the previous administrative center, Sungai Penuh, has now gained city status (Vristiyana, 2019). According to Imas Damayanti and Friska Yolanda (2019), Ena Lubis (45 years old), owner of the Small and Medium Enterprises (SMEs) Sanina Up and Culinary Center, observed that awareness of halal products remains low, both among consumers and producers. Ena noted that the situation significantly differs from several neighboring countries, such as Singapore. She explained that most consumers in Indonesia are reluctant to inquire about the halal status of a product, whether food and beverages sold by street vendors or in shopping malls. The majority of Indonesian consumers' understanding of halal is limited, often focusing only on the presence of pork. However, the halal status of a product, such as food, beverages, cosmetics, and others, is not only determined by the presence or absence of forbidden elements but also by the ingredients and production processes in accordance with Islamic principles.</w:t>
      </w:r>
    </w:p>
    <w:p w14:paraId="2AD3AC6F" w14:textId="77777777" w:rsidR="002227B5" w:rsidRPr="00CB4BE7" w:rsidRDefault="002227B5" w:rsidP="002227B5">
      <w:pPr>
        <w:pStyle w:val="ListParagraph"/>
        <w:ind w:left="426"/>
        <w:jc w:val="both"/>
        <w:rPr>
          <w:rFonts w:ascii="Californian FB" w:hAnsi="Californian FB"/>
          <w:bCs/>
        </w:rPr>
      </w:pPr>
    </w:p>
    <w:p w14:paraId="158ADDF2"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According to data from the Central Statistics Agency (BPS), the majority of the 1.6 million food and beverage industry players have not obtained certification to ensure the halal status of their products. Rachmat Hidayat, Vice Chairman of the Indonesian Food and Beverage Entrepreneurs Association, revealed that only around 11,000 food and beverage industry players have received certification. Rachmat emphasized that the limited number of certifications is largely due to the high costs involved.</w:t>
      </w:r>
    </w:p>
    <w:p w14:paraId="0B713933" w14:textId="77777777" w:rsidR="002227B5" w:rsidRPr="00CB4BE7" w:rsidRDefault="002227B5" w:rsidP="002227B5">
      <w:pPr>
        <w:pStyle w:val="ListParagraph"/>
        <w:ind w:left="426"/>
        <w:jc w:val="both"/>
        <w:rPr>
          <w:rFonts w:ascii="Californian FB" w:hAnsi="Californian FB"/>
          <w:bCs/>
        </w:rPr>
      </w:pPr>
    </w:p>
    <w:p w14:paraId="11AC1A6B"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Religiosity refers to a deep understanding of religious aspects, including symbols, beliefs, values, and actions, reflected in a person’s spiritual dimension. Religious activities are not limited to rituals but also involve actions driven by inner spiritual strength. Thus, religiosity encompasses a complex integration of religious knowledge, emotions, and behaviors. Stark and Glock describe this complex relationship, and Jalaludin explains that religiosity includes five dimensions: ritual (Syari'ah), ideological (aqidah), intellectual (ilmu), experiential (penghayatan), and consequential (pengamalan). It reflects the complex relationship between religious knowledge, feelings, and practices (Djamaludin Ancok and Fuad Nashori, 2001).</w:t>
      </w:r>
    </w:p>
    <w:p w14:paraId="127E39E4"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 xml:space="preserve">The low interest in halal certification among culinary business owners (Vristiyana, 2019) raises concerns about the safety and halal status of the food and beverage products offered. Given the high consumption levels in Jambi Province, halal certification should be an important factor in increasing consumer confidence in these products. </w:t>
      </w:r>
    </w:p>
    <w:p w14:paraId="0F7F8A17"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In Jambi Province, the majority of the population follows Islam, constituting about 94.27%, while Protestant Christians make up 2.90%, Catholics 1.30%, Buddhists 1.29%, Confucians 0.12%, and a small proportion of Hindus 0.08%. This majority should be leveraged to increase the adoption of halal certifications. To obtain halal certification, business owners must apply for their products to be tested for halal compliance. Thus, the spread of halal certification will likely increase over time.</w:t>
      </w:r>
    </w:p>
    <w:p w14:paraId="2AE158EB" w14:textId="77777777" w:rsidR="002227B5" w:rsidRPr="00CB4BE7" w:rsidRDefault="002227B5" w:rsidP="002227B5">
      <w:pPr>
        <w:pStyle w:val="ListParagraph"/>
        <w:ind w:left="426"/>
        <w:jc w:val="both"/>
        <w:rPr>
          <w:rFonts w:ascii="Californian FB" w:hAnsi="Californian FB"/>
          <w:bCs/>
        </w:rPr>
      </w:pPr>
    </w:p>
    <w:p w14:paraId="221CEA91"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This shows that several factors influence culinary business owners' reluctance to use halal certification for their products. Many still believe that having halal certification does not impact their profitability. They may perceive that halal certification is only important for the Muslim community as a guarantee of food safety, while the halal label is associated with cleanliness, quality, purity, and safety for non-Muslim groups (Vristiyana, 2019).</w:t>
      </w:r>
    </w:p>
    <w:p w14:paraId="4A5F832F" w14:textId="77777777" w:rsidR="002227B5" w:rsidRPr="00CB4BE7" w:rsidRDefault="002227B5" w:rsidP="002227B5">
      <w:pPr>
        <w:pStyle w:val="ListParagraph"/>
        <w:ind w:left="426"/>
        <w:jc w:val="both"/>
        <w:rPr>
          <w:rFonts w:ascii="Californian FB" w:hAnsi="Californian FB"/>
          <w:bCs/>
        </w:rPr>
      </w:pPr>
    </w:p>
    <w:p w14:paraId="4D3878FE"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Regarding consumer interest in halal products, there is a significant difference. The presence of a halal label on a product's packaging can increase confidence in purchasing the product. This can increase the likelihood of purchase decisions, thereby boosting sales. However, there is a possibility that despite a product having a halal label, it may still contain non-halal elements. This often happens because consumers rarely read the ingredients listed on product packaging and tend to trust the halal label without further verification (Ancok and Nashori, 2019).</w:t>
      </w:r>
    </w:p>
    <w:p w14:paraId="0A8676BA" w14:textId="77777777" w:rsidR="002227B5" w:rsidRPr="00CB4BE7" w:rsidRDefault="002227B5" w:rsidP="002227B5">
      <w:pPr>
        <w:pStyle w:val="ListParagraph"/>
        <w:ind w:left="426"/>
        <w:jc w:val="both"/>
        <w:rPr>
          <w:rFonts w:ascii="Californian FB" w:hAnsi="Californian FB"/>
          <w:bCs/>
        </w:rPr>
      </w:pPr>
    </w:p>
    <w:p w14:paraId="638577DD"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Based on this description, the researcher is interested in investigating the impact of religiosity on consumer purchase interest in halal products. The variables under investigation are religiosity, purchase interest, and halal products. Therefore, the proposed title for this research is "The Influence of Religiosity and Product Knowledge on Purchase Interest in Halal Products: A Case Study of Aqua Beverage Industry in Kerinci District, Jambi Province" (Unuz et al., 2019).</w:t>
      </w:r>
    </w:p>
    <w:p w14:paraId="12543F44" w14:textId="77777777" w:rsidR="002227B5" w:rsidRPr="00CB4BE7" w:rsidRDefault="002227B5" w:rsidP="002227B5">
      <w:pPr>
        <w:pStyle w:val="ListParagraph"/>
        <w:ind w:left="426"/>
        <w:jc w:val="both"/>
        <w:rPr>
          <w:rFonts w:ascii="Californian FB" w:hAnsi="Californian FB"/>
          <w:bCs/>
        </w:rPr>
      </w:pPr>
    </w:p>
    <w:p w14:paraId="450BCF59"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According to Imas Damayanti and Friska Yolanda (2019), Ena Lubis (45 years old), the owner of Small and Medium Enterprises (SMEs) Sanina Up and Culinary Center, observed that awareness of halal products remains low, both among consumers and producers. She noted that this situation is significantly different from what is happening in several neighboring countries, such as Singapore. Ena explained that most consumers in Indonesia tend to be reluctant to inquire about the halal status of a product, whether food and beverages sold by street vendors or in shopping malls when making a purchase. The majority of consumers in Indonesia have a limited understanding of halal, often focusing only on one aspect: the presence of pork. In reality, the halal status of a product, such as food, beverages, cosmetics, and others, is not solely determined by the presence or absence of forbidden ingredients, but also by the content and production processes that comply with the principles of Islamic law.</w:t>
      </w:r>
    </w:p>
    <w:p w14:paraId="711E5349" w14:textId="77777777" w:rsidR="002227B5" w:rsidRPr="00CB4BE7" w:rsidRDefault="002227B5" w:rsidP="002227B5">
      <w:pPr>
        <w:pStyle w:val="ListParagraph"/>
        <w:ind w:left="426"/>
        <w:jc w:val="both"/>
        <w:rPr>
          <w:rFonts w:ascii="Californian FB" w:hAnsi="Californian FB"/>
          <w:bCs/>
        </w:rPr>
      </w:pPr>
    </w:p>
    <w:p w14:paraId="336DFC13"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According to data from the Central Statistics Agency (BPS), the majority of the 1.6 million food and beverage industry players have not obtained certification to ensure the halal status of their products. Rachmat Hidayat, Vice Chairman of the Indonesian Food and Beverage Entrepreneurs Association, revealed that only about 11,000 food and beverage industry players have obtained certification. Rachmat emphasized that the limited number of certifications is largely due to the high costs involved.</w:t>
      </w:r>
    </w:p>
    <w:bookmarkEnd w:id="0"/>
    <w:p w14:paraId="3AB68DBA" w14:textId="77777777" w:rsidR="002227B5" w:rsidRPr="00CB4BE7" w:rsidRDefault="002227B5" w:rsidP="002227B5">
      <w:pPr>
        <w:pStyle w:val="ListParagraph"/>
        <w:numPr>
          <w:ilvl w:val="0"/>
          <w:numId w:val="6"/>
        </w:numPr>
        <w:jc w:val="both"/>
        <w:rPr>
          <w:rFonts w:ascii="Californian FB" w:hAnsi="Californian FB"/>
          <w:bCs/>
        </w:rPr>
      </w:pPr>
      <w:r w:rsidRPr="00CB4BE7">
        <w:rPr>
          <w:rFonts w:ascii="Californian FB" w:hAnsi="Californian FB"/>
          <w:bCs/>
        </w:rPr>
        <w:t>Methodology</w:t>
      </w:r>
    </w:p>
    <w:p w14:paraId="0867F051" w14:textId="77777777" w:rsidR="002227B5" w:rsidRPr="00266D52" w:rsidRDefault="002227B5" w:rsidP="002227B5">
      <w:pPr>
        <w:ind w:firstLine="360"/>
        <w:jc w:val="both"/>
        <w:rPr>
          <w:rFonts w:ascii="Californian FB" w:hAnsi="Californian FB"/>
          <w:b/>
        </w:rPr>
      </w:pPr>
      <w:bookmarkStart w:id="1" w:name="_Hlk187506081"/>
      <w:r w:rsidRPr="00CB4BE7">
        <w:rPr>
          <w:rFonts w:ascii="Californian FB" w:hAnsi="Californian FB"/>
          <w:bCs/>
        </w:rPr>
        <w:t>The author uses a quantitative research type with a descriptive approach. Quantitative research with a descriptive approach is used to emphasize the analysis of numerical data (in the form of numbers) processed with specific statistical methods. This aligns with Arikunto’s (2006) opinion that quantitative research is an approach that primarily requires numbers, from data collection, interpretation of the data, to the presentation of results. The main reason for selecting this type of research is to test the hypotheses presented in the previous discussion. The choice of quantitative research is intended to determine the magnitude of each variable (in the form of numbers). The scope of this research is focused on the variables affecting the purchase decision preferences for imported beverage products. The influencing variables are religiosity, product knowledge, and halal product purchase</w:t>
      </w:r>
      <w:r w:rsidRPr="00266D52">
        <w:rPr>
          <w:rFonts w:ascii="Californian FB" w:hAnsi="Californian FB"/>
          <w:b/>
        </w:rPr>
        <w:t>.</w:t>
      </w:r>
    </w:p>
    <w:p w14:paraId="167AFB71" w14:textId="77777777" w:rsidR="002227B5" w:rsidRDefault="002227B5" w:rsidP="002227B5">
      <w:pPr>
        <w:jc w:val="both"/>
        <w:rPr>
          <w:rFonts w:ascii="Californian FB" w:hAnsi="Californian FB"/>
          <w:b/>
        </w:rPr>
      </w:pPr>
    </w:p>
    <w:p w14:paraId="070CD161" w14:textId="77777777" w:rsidR="002227B5" w:rsidRPr="00266D52" w:rsidRDefault="002227B5" w:rsidP="002227B5">
      <w:pPr>
        <w:jc w:val="both"/>
        <w:rPr>
          <w:rFonts w:ascii="Californian FB" w:hAnsi="Californian FB"/>
          <w:b/>
        </w:rPr>
      </w:pPr>
      <w:r w:rsidRPr="00266D52">
        <w:rPr>
          <w:rFonts w:ascii="Californian FB" w:hAnsi="Californian FB"/>
          <w:b/>
        </w:rPr>
        <w:t>Table 1.2 Operational Definitions of Variable</w:t>
      </w:r>
      <w:bookmarkEnd w:id="1"/>
      <w:r w:rsidRPr="00266D52">
        <w:rPr>
          <w:rFonts w:ascii="Californian FB" w:hAnsi="Californian FB"/>
          <w:b/>
        </w:rPr>
        <w:t>s</w:t>
      </w:r>
    </w:p>
    <w:p w14:paraId="143CF1C4" w14:textId="41FC493A" w:rsidR="002227B5" w:rsidRPr="00472193" w:rsidRDefault="002227B5" w:rsidP="002227B5">
      <w:pPr>
        <w:spacing w:before="100" w:beforeAutospacing="1" w:after="100" w:afterAutospacing="1" w:line="240" w:lineRule="auto"/>
        <w:rPr>
          <w:rFonts w:ascii="Times New Roman" w:hAnsi="Times New Roman"/>
        </w:rPr>
      </w:pPr>
      <w:r w:rsidRPr="002227B5">
        <w:drawing>
          <wp:inline distT="0" distB="0" distL="0" distR="0" wp14:anchorId="038A05B5" wp14:editId="13EDCADE">
            <wp:extent cx="5734050" cy="4552950"/>
            <wp:effectExtent l="0" t="0" r="0" b="0"/>
            <wp:docPr id="15697713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4552950"/>
                    </a:xfrm>
                    <a:prstGeom prst="rect">
                      <a:avLst/>
                    </a:prstGeom>
                    <a:noFill/>
                    <a:ln>
                      <a:noFill/>
                    </a:ln>
                  </pic:spPr>
                </pic:pic>
              </a:graphicData>
            </a:graphic>
          </wp:inline>
        </w:drawing>
      </w:r>
      <w:bookmarkStart w:id="2" w:name="_Hlk187506154"/>
      <w:r w:rsidRPr="002227B5">
        <w:rPr>
          <w:rFonts w:ascii="Californian FB" w:hAnsi="Californian FB"/>
          <w:bCs/>
        </w:rPr>
        <w:t xml:space="preserve"> </w:t>
      </w:r>
      <w:r w:rsidRPr="00CB4BE7">
        <w:rPr>
          <w:rFonts w:ascii="Californian FB" w:hAnsi="Californian FB"/>
          <w:bCs/>
        </w:rPr>
        <w:t>Source: Data processed (2019</w:t>
      </w:r>
      <w:r w:rsidRPr="00472193">
        <w:rPr>
          <w:rFonts w:ascii="Californian FB" w:hAnsi="Californian FB"/>
          <w:b/>
        </w:rPr>
        <w:t>)</w:t>
      </w:r>
    </w:p>
    <w:p w14:paraId="01139AD0" w14:textId="77777777" w:rsidR="002227B5" w:rsidRPr="00BB2ECF" w:rsidRDefault="002227B5" w:rsidP="002227B5">
      <w:pPr>
        <w:pStyle w:val="ListParagraph"/>
        <w:ind w:left="426"/>
        <w:jc w:val="both"/>
        <w:rPr>
          <w:rFonts w:ascii="Californian FB" w:hAnsi="Californian FB"/>
          <w:b/>
        </w:rPr>
      </w:pPr>
    </w:p>
    <w:p w14:paraId="6826D049"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main reason for selecting this type of research is to test the hypotheses proposed in the earlier discussion. Quantitative research is chosen to determine the magnitude of each variable (in numeric form). The scope of this research is more focused on the variables that affect preference decisions for imported beverage products. The variables influencing these decisions include religiosity, product knowledge, and halal product purchases.</w:t>
      </w:r>
    </w:p>
    <w:p w14:paraId="34117F9A" w14:textId="77777777" w:rsidR="002227B5" w:rsidRPr="00BB2ECF" w:rsidRDefault="002227B5" w:rsidP="002227B5">
      <w:pPr>
        <w:pStyle w:val="ListParagraph"/>
        <w:ind w:left="426"/>
        <w:jc w:val="both"/>
        <w:rPr>
          <w:rFonts w:ascii="Californian FB" w:hAnsi="Californian FB"/>
          <w:b/>
        </w:rPr>
      </w:pPr>
    </w:p>
    <w:p w14:paraId="1E58F849" w14:textId="77777777" w:rsidR="002227B5" w:rsidRPr="00472193" w:rsidRDefault="002227B5" w:rsidP="002227B5">
      <w:pPr>
        <w:jc w:val="both"/>
        <w:rPr>
          <w:rFonts w:ascii="Californian FB" w:hAnsi="Californian FB"/>
          <w:b/>
        </w:rPr>
      </w:pPr>
      <w:r w:rsidRPr="00472193">
        <w:rPr>
          <w:rFonts w:ascii="Californian FB" w:hAnsi="Californian FB"/>
          <w:b/>
        </w:rPr>
        <w:t xml:space="preserve">1. Validity Test  </w:t>
      </w:r>
    </w:p>
    <w:p w14:paraId="5639CAFB"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validity assessment is performed by correlating the score of each statement with the total score. The correlation value (r_count) is then compared with the critical value (r_table).</w:t>
      </w:r>
    </w:p>
    <w:p w14:paraId="022CDD73" w14:textId="77777777" w:rsidR="002227B5" w:rsidRPr="00472193" w:rsidRDefault="002227B5" w:rsidP="002227B5">
      <w:pPr>
        <w:jc w:val="both"/>
        <w:rPr>
          <w:rFonts w:ascii="Californian FB" w:hAnsi="Californian FB"/>
          <w:b/>
        </w:rPr>
      </w:pPr>
      <w:r>
        <w:rPr>
          <w:rFonts w:ascii="Californian FB" w:hAnsi="Californian FB"/>
          <w:b/>
        </w:rPr>
        <w:t xml:space="preserve">2. </w:t>
      </w:r>
      <w:r w:rsidRPr="00472193">
        <w:rPr>
          <w:rFonts w:ascii="Californian FB" w:hAnsi="Californian FB"/>
          <w:b/>
        </w:rPr>
        <w:t>Reliability Test</w:t>
      </w:r>
    </w:p>
    <w:p w14:paraId="0E38253A"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instruments in this study are considered reliable or dependable when used repeatedly to measure the same object and produce similar data. The purpose of the reliability test is to evaluate the consistency of the questionnaire. The reliability test is conducted using Cronbach’s Alpha, which groups items into two or more parts. If the Cronbach’s Alpha value &gt; 0.60, according to the product-moment table, the data is considered reliable and can be used as input for data analysis in testing the research hypotheses.</w:t>
      </w:r>
    </w:p>
    <w:p w14:paraId="1AF8C824" w14:textId="77777777" w:rsidR="002227B5" w:rsidRPr="00BB2ECF" w:rsidRDefault="002227B5" w:rsidP="002227B5">
      <w:pPr>
        <w:pStyle w:val="ListParagraph"/>
        <w:ind w:left="426"/>
        <w:jc w:val="both"/>
        <w:rPr>
          <w:rFonts w:ascii="Californian FB" w:hAnsi="Californian FB"/>
          <w:b/>
        </w:rPr>
      </w:pPr>
    </w:p>
    <w:p w14:paraId="5522BBAF" w14:textId="77777777" w:rsidR="002227B5" w:rsidRDefault="002227B5" w:rsidP="002227B5">
      <w:pPr>
        <w:jc w:val="both"/>
        <w:rPr>
          <w:rFonts w:ascii="Californian FB" w:hAnsi="Californian FB"/>
          <w:b/>
        </w:rPr>
      </w:pPr>
      <w:r w:rsidRPr="00472193">
        <w:rPr>
          <w:rFonts w:ascii="Californian FB" w:hAnsi="Californian FB"/>
          <w:b/>
        </w:rPr>
        <w:t>3. Classic Assumption Test</w:t>
      </w:r>
    </w:p>
    <w:p w14:paraId="308701AA"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Classic assumption tests are statistical requirements that must be met in multiple linear regression analysis based on ordinary least squares (OLS). In OLS, there is one dependent variable and more than one independent variable.</w:t>
      </w:r>
    </w:p>
    <w:p w14:paraId="4657AF79" w14:textId="77777777" w:rsidR="002227B5" w:rsidRPr="00BB2ECF" w:rsidRDefault="002227B5" w:rsidP="002227B5">
      <w:pPr>
        <w:pStyle w:val="ListParagraph"/>
        <w:ind w:left="426"/>
        <w:jc w:val="both"/>
        <w:rPr>
          <w:rFonts w:ascii="Californian FB" w:hAnsi="Californian FB"/>
          <w:b/>
        </w:rPr>
      </w:pPr>
    </w:p>
    <w:p w14:paraId="2CF39132" w14:textId="77777777" w:rsidR="002227B5" w:rsidRPr="00472193" w:rsidRDefault="002227B5" w:rsidP="002227B5">
      <w:pPr>
        <w:jc w:val="both"/>
        <w:rPr>
          <w:rFonts w:ascii="Californian FB" w:hAnsi="Californian FB"/>
          <w:b/>
        </w:rPr>
      </w:pPr>
      <w:r w:rsidRPr="00472193">
        <w:rPr>
          <w:rFonts w:ascii="Californian FB" w:hAnsi="Californian FB"/>
          <w:b/>
        </w:rPr>
        <w:t xml:space="preserve">4. Normality Test  </w:t>
      </w:r>
    </w:p>
    <w:p w14:paraId="1715F5A5"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normality test is performed on the regression model to determine whether the residual values are normally distributed. Normality tests are used in quantitative research to ensure that the observed data meet the assumptions required by certain regression analysis methods or t-tests. If the significance value is less than 0.05, the data is considered not normally distributed. Conversely, if the significance value is greater than 0.05, the data is considered normally distributed.</w:t>
      </w:r>
    </w:p>
    <w:p w14:paraId="407D838C" w14:textId="77777777" w:rsidR="002227B5" w:rsidRPr="00BB2ECF" w:rsidRDefault="002227B5" w:rsidP="002227B5">
      <w:pPr>
        <w:pStyle w:val="ListParagraph"/>
        <w:ind w:left="426"/>
        <w:jc w:val="both"/>
        <w:rPr>
          <w:rFonts w:ascii="Californian FB" w:hAnsi="Californian FB"/>
          <w:b/>
        </w:rPr>
      </w:pPr>
    </w:p>
    <w:p w14:paraId="2A2C6C13" w14:textId="77777777" w:rsidR="002227B5" w:rsidRPr="00472193" w:rsidRDefault="002227B5" w:rsidP="002227B5">
      <w:pPr>
        <w:jc w:val="both"/>
        <w:rPr>
          <w:rFonts w:ascii="Californian FB" w:hAnsi="Californian FB"/>
          <w:b/>
        </w:rPr>
      </w:pPr>
      <w:r w:rsidRPr="00472193">
        <w:rPr>
          <w:rFonts w:ascii="Californian FB" w:hAnsi="Californian FB"/>
          <w:b/>
        </w:rPr>
        <w:t xml:space="preserve">5. Multicollinearity Test  </w:t>
      </w:r>
    </w:p>
    <w:p w14:paraId="053AE30E"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multicollinearity test is a method to evaluate the linear relationship between independent variables in a multiple regression model. This test aims to identify correlations among independent variables.</w:t>
      </w:r>
    </w:p>
    <w:p w14:paraId="3F2554DF" w14:textId="77777777" w:rsidR="002227B5" w:rsidRPr="00BB2ECF" w:rsidRDefault="002227B5" w:rsidP="002227B5">
      <w:pPr>
        <w:pStyle w:val="ListParagraph"/>
        <w:ind w:left="426"/>
        <w:jc w:val="both"/>
        <w:rPr>
          <w:rFonts w:ascii="Californian FB" w:hAnsi="Californian FB"/>
          <w:b/>
        </w:rPr>
      </w:pPr>
    </w:p>
    <w:p w14:paraId="1635BF1D" w14:textId="77777777" w:rsidR="002227B5" w:rsidRPr="00472193" w:rsidRDefault="002227B5" w:rsidP="002227B5">
      <w:pPr>
        <w:jc w:val="both"/>
        <w:rPr>
          <w:rFonts w:ascii="Californian FB" w:hAnsi="Californian FB"/>
          <w:b/>
        </w:rPr>
      </w:pPr>
      <w:r w:rsidRPr="00472193">
        <w:rPr>
          <w:rFonts w:ascii="Californian FB" w:hAnsi="Californian FB"/>
          <w:b/>
        </w:rPr>
        <w:t xml:space="preserve">6. Heteroscedasticity Test  </w:t>
      </w:r>
    </w:p>
    <w:p w14:paraId="26F175AE"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heteroscedasticity test is conducted to evaluate whether heteroscedasticity occurs, meaning whether the residual variance is not constant across all levels of independent variables. Heteroscedasticity refers to unequal residual variance between observations in a regression model. If residual variance is stable and consistent between observations, it is called homoscedasticity. If there is unstable variation in residual variance, it is referred to as heteroscedasticity.</w:t>
      </w:r>
    </w:p>
    <w:p w14:paraId="183C6C41" w14:textId="77777777" w:rsidR="002227B5" w:rsidRPr="00BB2ECF" w:rsidRDefault="002227B5" w:rsidP="002227B5">
      <w:pPr>
        <w:pStyle w:val="ListParagraph"/>
        <w:ind w:left="426"/>
        <w:jc w:val="both"/>
        <w:rPr>
          <w:rFonts w:ascii="Californian FB" w:hAnsi="Californian FB"/>
          <w:b/>
        </w:rPr>
      </w:pPr>
    </w:p>
    <w:p w14:paraId="6111BD7F" w14:textId="77777777" w:rsidR="002227B5" w:rsidRDefault="002227B5" w:rsidP="002227B5">
      <w:pPr>
        <w:jc w:val="both"/>
        <w:rPr>
          <w:rFonts w:ascii="Californian FB" w:hAnsi="Californian FB"/>
          <w:b/>
        </w:rPr>
      </w:pPr>
      <w:r w:rsidRPr="00472193">
        <w:rPr>
          <w:rFonts w:ascii="Californian FB" w:hAnsi="Californian FB"/>
          <w:b/>
        </w:rPr>
        <w:t>7. t-Test</w:t>
      </w:r>
    </w:p>
    <w:p w14:paraId="009FA0B6"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To determine the significance of the effect of each independent variable, a t-test is conducted for each independent variable to evaluate the significance of its influence on the dependent variable. The t-test is used to evaluate whether the regression coefficients are significantly different from zero (religiosity, education costs, and education facilities) on the dependent variable (student decisions) in a two-tailed manner. Prior to this, data will be transformed.</w:t>
      </w:r>
    </w:p>
    <w:p w14:paraId="06E504FE" w14:textId="77777777" w:rsidR="002227B5" w:rsidRPr="00BB2ECF" w:rsidRDefault="002227B5" w:rsidP="002227B5">
      <w:pPr>
        <w:pStyle w:val="ListParagraph"/>
        <w:ind w:left="426"/>
        <w:jc w:val="both"/>
        <w:rPr>
          <w:rFonts w:ascii="Californian FB" w:hAnsi="Californian FB"/>
          <w:b/>
        </w:rPr>
      </w:pPr>
    </w:p>
    <w:p w14:paraId="1AFD3175" w14:textId="77777777" w:rsidR="002227B5" w:rsidRPr="00472193" w:rsidRDefault="002227B5" w:rsidP="002227B5">
      <w:pPr>
        <w:jc w:val="both"/>
        <w:rPr>
          <w:rFonts w:ascii="Californian FB" w:hAnsi="Californian FB"/>
          <w:b/>
        </w:rPr>
      </w:pPr>
      <w:r w:rsidRPr="00472193">
        <w:rPr>
          <w:rFonts w:ascii="Californian FB" w:hAnsi="Californian FB"/>
          <w:b/>
        </w:rPr>
        <w:t>8. F-Test</w:t>
      </w:r>
    </w:p>
    <w:p w14:paraId="7E5F28C9" w14:textId="77777777" w:rsidR="002227B5" w:rsidRPr="00CB4BE7" w:rsidRDefault="002227B5" w:rsidP="002227B5">
      <w:pPr>
        <w:ind w:firstLine="426"/>
        <w:jc w:val="both"/>
        <w:rPr>
          <w:rFonts w:ascii="Californian FB" w:hAnsi="Californian FB"/>
          <w:bCs/>
        </w:rPr>
      </w:pPr>
      <w:r w:rsidRPr="00CB4BE7">
        <w:rPr>
          <w:rFonts w:ascii="Californian FB" w:hAnsi="Californian FB"/>
          <w:bCs/>
        </w:rPr>
        <w:t>The F-test aims to determine the combined impact of independent variables</w:t>
      </w:r>
      <w:r w:rsidRPr="00472193">
        <w:rPr>
          <w:rFonts w:ascii="Californian FB" w:hAnsi="Californian FB"/>
          <w:b/>
        </w:rPr>
        <w:t xml:space="preserve"> (</w:t>
      </w:r>
      <w:r w:rsidRPr="00CB4BE7">
        <w:rPr>
          <w:rFonts w:ascii="Californian FB" w:hAnsi="Californian FB"/>
          <w:bCs/>
        </w:rPr>
        <w:t>religiosity, halal label, price, and purchase decision). It is used to evaluate the joint effect of these variables on the dependent variable (decision-making) simultaneously.</w:t>
      </w:r>
    </w:p>
    <w:p w14:paraId="23AC8FF5" w14:textId="77777777" w:rsidR="002227B5" w:rsidRPr="00472193" w:rsidRDefault="002227B5" w:rsidP="002227B5">
      <w:pPr>
        <w:ind w:firstLine="426"/>
        <w:jc w:val="both"/>
        <w:rPr>
          <w:rFonts w:ascii="Californian FB" w:hAnsi="Californian FB"/>
          <w:b/>
        </w:rPr>
      </w:pPr>
      <w:r w:rsidRPr="00CB4BE7">
        <w:rPr>
          <w:rFonts w:ascii="Californian FB" w:hAnsi="Californian FB"/>
          <w:bCs/>
        </w:rPr>
        <w:t>The author uses a quantitative research type with a descriptive approach. Quantitative research with a descriptive approach is used to emphasize the analysis of numerical data (in the form of numbers) processed with specific statistical methods. This aligns with Arikunto’s (2006) opinion that quantitative research is an approach that primarily requires numbers, from data collection, interpretation of the data, to the presentation of results. The main reason for selecting this type of research is to test the hypotheses presented in the previous discussion. The choice of quantitative research is intended to determine the magnitude of each variable (in the form of numbers). The scope of this research is focused on the variables affecting the purchase decision preferences for imported beverage products. The influencing variables are religiosity, product knowledge, and halal product purchase</w:t>
      </w:r>
      <w:r w:rsidRPr="00472193">
        <w:rPr>
          <w:rFonts w:ascii="Californian FB" w:hAnsi="Californian FB"/>
          <w:b/>
        </w:rPr>
        <w:t>.</w:t>
      </w:r>
      <w:r w:rsidRPr="00472193">
        <w:rPr>
          <w:rFonts w:ascii="Californian FB" w:hAnsi="Californian FB"/>
        </w:rPr>
        <w:t>:</w:t>
      </w:r>
    </w:p>
    <w:p w14:paraId="2E1B7FA6" w14:textId="77777777" w:rsidR="002227B5" w:rsidRDefault="002227B5" w:rsidP="002227B5">
      <w:pPr>
        <w:jc w:val="both"/>
        <w:rPr>
          <w:rFonts w:ascii="Californian FB" w:hAnsi="Californian FB"/>
          <w:b/>
          <w:bCs/>
        </w:rPr>
      </w:pPr>
    </w:p>
    <w:p w14:paraId="6FFCCE61" w14:textId="77777777" w:rsidR="002227B5" w:rsidRDefault="002227B5" w:rsidP="002227B5">
      <w:pPr>
        <w:pStyle w:val="ListParagraph"/>
        <w:numPr>
          <w:ilvl w:val="0"/>
          <w:numId w:val="6"/>
        </w:numPr>
        <w:spacing w:after="0" w:line="240" w:lineRule="auto"/>
        <w:jc w:val="both"/>
        <w:rPr>
          <w:rFonts w:ascii="Californian FB" w:hAnsi="Californian FB"/>
          <w:b/>
          <w:bCs/>
        </w:rPr>
      </w:pPr>
      <w:r w:rsidRPr="00472193">
        <w:rPr>
          <w:rFonts w:ascii="Californian FB" w:hAnsi="Californian FB"/>
          <w:b/>
          <w:bCs/>
        </w:rPr>
        <w:t>Results and Discussion</w:t>
      </w:r>
    </w:p>
    <w:p w14:paraId="50865F97" w14:textId="77777777" w:rsidR="002227B5" w:rsidRPr="00472193" w:rsidRDefault="002227B5" w:rsidP="002227B5">
      <w:pPr>
        <w:pStyle w:val="ListParagraph"/>
        <w:jc w:val="both"/>
        <w:rPr>
          <w:rFonts w:ascii="Californian FB" w:hAnsi="Californian FB"/>
          <w:b/>
          <w:bCs/>
        </w:rPr>
      </w:pPr>
    </w:p>
    <w:p w14:paraId="4E0E038A" w14:textId="77777777" w:rsidR="002227B5" w:rsidRPr="00472193" w:rsidRDefault="002227B5" w:rsidP="002227B5">
      <w:pPr>
        <w:spacing w:after="0"/>
        <w:ind w:firstLine="426"/>
        <w:jc w:val="both"/>
        <w:rPr>
          <w:rFonts w:ascii="Californian FB" w:hAnsi="Californian FB"/>
        </w:rPr>
      </w:pPr>
      <w:r w:rsidRPr="00472193">
        <w:rPr>
          <w:rFonts w:ascii="Californian FB" w:hAnsi="Californian FB"/>
        </w:rPr>
        <w:t>This study's findings involve descriptive statistical analysis, evaluation of assumption test results, and hypothesis testing. The results will be analyzed critically and presented sequentially or integratively. The results section will include the results of data analysis. If applicable, tables, graphs, or figures will be included to present significant and easily understandable analysis results, without including raw data that require further processing.</w:t>
      </w:r>
    </w:p>
    <w:p w14:paraId="0AAA9D41" w14:textId="77777777" w:rsidR="002227B5" w:rsidRPr="00472193" w:rsidRDefault="002227B5" w:rsidP="002227B5">
      <w:pPr>
        <w:spacing w:after="0"/>
        <w:ind w:firstLine="426"/>
        <w:jc w:val="both"/>
        <w:rPr>
          <w:rFonts w:ascii="Californian FB" w:hAnsi="Californian FB"/>
        </w:rPr>
      </w:pPr>
      <w:r w:rsidRPr="00472193">
        <w:rPr>
          <w:rFonts w:ascii="Californian FB" w:hAnsi="Californian FB"/>
        </w:rPr>
        <w:t>The preparation of the bibliography in alphabetical and chronological order, including all sources and references cited in the manuscript and excluding sources not referenced, is an essential step in scientific writing. This reference list contains all sources cited in the text, originating from relevant sources. Writing should follow the American Psychological Association (APA) standards, using the Times New Roman font, size 12 pt, and 1.5 line spacing.</w:t>
      </w:r>
    </w:p>
    <w:p w14:paraId="4E5F6B1A" w14:textId="77777777" w:rsidR="002227B5" w:rsidRPr="00472193" w:rsidRDefault="002227B5" w:rsidP="002227B5">
      <w:pPr>
        <w:spacing w:after="0"/>
        <w:ind w:firstLine="426"/>
        <w:jc w:val="both"/>
        <w:rPr>
          <w:rFonts w:ascii="Californian FB" w:hAnsi="Californian FB"/>
        </w:rPr>
      </w:pPr>
      <w:r w:rsidRPr="00472193">
        <w:rPr>
          <w:rFonts w:ascii="Californian FB" w:hAnsi="Californian FB"/>
          <w:b/>
          <w:bCs/>
        </w:rPr>
        <w:t>Validity testing</w:t>
      </w:r>
      <w:r w:rsidRPr="00472193">
        <w:rPr>
          <w:rFonts w:ascii="Californian FB" w:hAnsi="Californian FB"/>
        </w:rPr>
        <w:t xml:space="preserve"> is conducted by correlating the scores of each statement with the total score. The calculated correlation value (r_obtained) is then compared with the correlation value listed in the table (r_table). If the r_obtained value exceeds the value listed in the table, it can be concluded that the correlation is statistically significant. The r_table at a certain confidence level indicates that the instrument meets the validity criteria, so each item is considered valid. In other words, the instrument's validity can be confirmed. Using a 1% significance level, the obtained r_table value is 0.2061. The following is the result of the data validity test:</w:t>
      </w:r>
    </w:p>
    <w:p w14:paraId="3D9CAFE5" w14:textId="77777777" w:rsidR="002227B5" w:rsidRPr="00472193" w:rsidRDefault="002227B5" w:rsidP="002227B5">
      <w:pPr>
        <w:ind w:firstLine="426"/>
        <w:jc w:val="both"/>
        <w:rPr>
          <w:rFonts w:ascii="Californian FB" w:hAnsi="Californian FB"/>
        </w:rPr>
      </w:pPr>
    </w:p>
    <w:p w14:paraId="3F14A9CD" w14:textId="77777777" w:rsidR="002227B5" w:rsidRPr="00472193" w:rsidRDefault="002227B5" w:rsidP="002227B5">
      <w:pPr>
        <w:spacing w:after="0"/>
        <w:ind w:firstLine="426"/>
        <w:jc w:val="both"/>
        <w:rPr>
          <w:rFonts w:ascii="Californian FB" w:hAnsi="Californian FB"/>
        </w:rPr>
      </w:pPr>
      <w:bookmarkStart w:id="3" w:name="_Hlk187506231"/>
      <w:bookmarkEnd w:id="2"/>
      <w:r w:rsidRPr="00472193">
        <w:rPr>
          <w:rFonts w:ascii="Californian FB" w:hAnsi="Californian FB"/>
        </w:rPr>
        <w:t xml:space="preserve">Here is the table for </w:t>
      </w:r>
      <w:r w:rsidRPr="00472193">
        <w:rPr>
          <w:rFonts w:ascii="Californian FB" w:hAnsi="Californian FB"/>
          <w:b/>
          <w:bCs/>
        </w:rPr>
        <w:t>X1</w:t>
      </w:r>
      <w:r w:rsidRPr="00472193">
        <w:rPr>
          <w:rFonts w:ascii="Californian FB" w:hAnsi="Californian FB"/>
        </w:rPr>
        <w:t xml:space="preserve"> based on the provided information</w:t>
      </w:r>
      <w:bookmarkEnd w:id="3"/>
      <w:r w:rsidRPr="00472193">
        <w:rPr>
          <w:rFonts w:ascii="Californian FB" w:hAnsi="Californian FB"/>
        </w:rPr>
        <w:t>:</w:t>
      </w:r>
    </w:p>
    <w:p w14:paraId="13485290" w14:textId="7F9E015A" w:rsidR="002227B5" w:rsidRDefault="002227B5" w:rsidP="002227B5">
      <w:pPr>
        <w:rPr>
          <w:rFonts w:ascii="Californian FB" w:hAnsi="Californian FB"/>
        </w:rPr>
      </w:pPr>
      <w:r w:rsidRPr="002227B5">
        <w:drawing>
          <wp:inline distT="0" distB="0" distL="0" distR="0" wp14:anchorId="1CD63CB9" wp14:editId="4C623AC5">
            <wp:extent cx="4887469" cy="1644650"/>
            <wp:effectExtent l="0" t="0" r="0" b="0"/>
            <wp:docPr id="7896830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1934" cy="1649517"/>
                    </a:xfrm>
                    <a:prstGeom prst="rect">
                      <a:avLst/>
                    </a:prstGeom>
                    <a:noFill/>
                    <a:ln>
                      <a:noFill/>
                    </a:ln>
                  </pic:spPr>
                </pic:pic>
              </a:graphicData>
            </a:graphic>
          </wp:inline>
        </w:drawing>
      </w:r>
      <w:r w:rsidRPr="002227B5">
        <w:rPr>
          <w:rFonts w:ascii="Californian FB" w:hAnsi="Californian FB"/>
        </w:rPr>
        <w:t xml:space="preserve"> </w:t>
      </w:r>
      <w:r w:rsidRPr="002227B5">
        <w:drawing>
          <wp:inline distT="0" distB="0" distL="0" distR="0" wp14:anchorId="520ECD3D" wp14:editId="4CA64E82">
            <wp:extent cx="5448300" cy="8712835"/>
            <wp:effectExtent l="0" t="0" r="0" b="0"/>
            <wp:docPr id="21340190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8300" cy="8712835"/>
                    </a:xfrm>
                    <a:prstGeom prst="rect">
                      <a:avLst/>
                    </a:prstGeom>
                    <a:noFill/>
                    <a:ln>
                      <a:noFill/>
                    </a:ln>
                  </pic:spPr>
                </pic:pic>
              </a:graphicData>
            </a:graphic>
          </wp:inline>
        </w:drawing>
      </w:r>
      <w:r w:rsidR="00C34009" w:rsidRPr="00C34009">
        <w:rPr>
          <w:rFonts w:ascii="Californian FB" w:hAnsi="Californian FB"/>
        </w:rPr>
        <w:t xml:space="preserve"> </w:t>
      </w:r>
      <w:r w:rsidR="00C34009" w:rsidRPr="00C34009">
        <w:drawing>
          <wp:inline distT="0" distB="0" distL="0" distR="0" wp14:anchorId="05E95E94" wp14:editId="023E4DE3">
            <wp:extent cx="5352415" cy="8712835"/>
            <wp:effectExtent l="0" t="0" r="635" b="0"/>
            <wp:docPr id="13219019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2415" cy="8712835"/>
                    </a:xfrm>
                    <a:prstGeom prst="rect">
                      <a:avLst/>
                    </a:prstGeom>
                    <a:noFill/>
                    <a:ln>
                      <a:noFill/>
                    </a:ln>
                  </pic:spPr>
                </pic:pic>
              </a:graphicData>
            </a:graphic>
          </wp:inline>
        </w:drawing>
      </w:r>
      <w:r w:rsidR="00C34009" w:rsidRPr="00C34009">
        <w:rPr>
          <w:rFonts w:ascii="Californian FB" w:hAnsi="Californian FB"/>
        </w:rPr>
        <w:t xml:space="preserve"> </w:t>
      </w:r>
      <w:r w:rsidR="00C34009" w:rsidRPr="00C34009">
        <w:drawing>
          <wp:inline distT="0" distB="0" distL="0" distR="0" wp14:anchorId="7FBA0300" wp14:editId="083797F5">
            <wp:extent cx="5379085" cy="8712835"/>
            <wp:effectExtent l="0" t="0" r="0" b="0"/>
            <wp:docPr id="1557939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9085" cy="8712835"/>
                    </a:xfrm>
                    <a:prstGeom prst="rect">
                      <a:avLst/>
                    </a:prstGeom>
                    <a:noFill/>
                    <a:ln>
                      <a:noFill/>
                    </a:ln>
                  </pic:spPr>
                </pic:pic>
              </a:graphicData>
            </a:graphic>
          </wp:inline>
        </w:drawing>
      </w:r>
      <w:r w:rsidR="00C34009" w:rsidRPr="00C34009">
        <w:drawing>
          <wp:inline distT="0" distB="0" distL="0" distR="0" wp14:anchorId="1A5CCAEB" wp14:editId="5D39824D">
            <wp:extent cx="5734050" cy="2667000"/>
            <wp:effectExtent l="0" t="0" r="0" b="0"/>
            <wp:docPr id="7516002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2667000"/>
                    </a:xfrm>
                    <a:prstGeom prst="rect">
                      <a:avLst/>
                    </a:prstGeom>
                    <a:noFill/>
                    <a:ln>
                      <a:noFill/>
                    </a:ln>
                  </pic:spPr>
                </pic:pic>
              </a:graphicData>
            </a:graphic>
          </wp:inline>
        </w:drawing>
      </w:r>
      <w:r w:rsidR="00C34009" w:rsidRPr="00C34009">
        <w:rPr>
          <w:rFonts w:ascii="Californian FB" w:hAnsi="Californian FB"/>
        </w:rPr>
        <w:t xml:space="preserve"> </w:t>
      </w:r>
      <w:r w:rsidR="00C34009" w:rsidRPr="00C34009">
        <w:drawing>
          <wp:inline distT="0" distB="0" distL="0" distR="0" wp14:anchorId="37552027" wp14:editId="1ECED3BF">
            <wp:extent cx="5283835" cy="8712835"/>
            <wp:effectExtent l="0" t="0" r="0" b="0"/>
            <wp:docPr id="5081607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3835" cy="8712835"/>
                    </a:xfrm>
                    <a:prstGeom prst="rect">
                      <a:avLst/>
                    </a:prstGeom>
                    <a:noFill/>
                    <a:ln>
                      <a:noFill/>
                    </a:ln>
                  </pic:spPr>
                </pic:pic>
              </a:graphicData>
            </a:graphic>
          </wp:inline>
        </w:drawing>
      </w:r>
    </w:p>
    <w:p w14:paraId="3E786B00" w14:textId="06CB9EE1" w:rsidR="00C34009" w:rsidRDefault="00C34009" w:rsidP="002227B5">
      <w:pPr>
        <w:rPr>
          <w:rFonts w:ascii="Californian FB" w:hAnsi="Californian FB"/>
        </w:rPr>
      </w:pPr>
      <w:r w:rsidRPr="00C34009">
        <w:drawing>
          <wp:inline distT="0" distB="0" distL="0" distR="0" wp14:anchorId="7ACE166E" wp14:editId="1744918B">
            <wp:extent cx="5283835" cy="8712835"/>
            <wp:effectExtent l="0" t="0" r="0" b="0"/>
            <wp:docPr id="5185721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3835" cy="8712835"/>
                    </a:xfrm>
                    <a:prstGeom prst="rect">
                      <a:avLst/>
                    </a:prstGeom>
                    <a:noFill/>
                    <a:ln>
                      <a:noFill/>
                    </a:ln>
                  </pic:spPr>
                </pic:pic>
              </a:graphicData>
            </a:graphic>
          </wp:inline>
        </w:drawing>
      </w:r>
      <w:r w:rsidRPr="00C34009">
        <w:rPr>
          <w:rFonts w:ascii="Californian FB" w:hAnsi="Californian FB"/>
        </w:rPr>
        <w:t xml:space="preserve"> </w:t>
      </w:r>
      <w:r w:rsidRPr="00C34009">
        <w:drawing>
          <wp:inline distT="0" distB="0" distL="0" distR="0" wp14:anchorId="1AA0B48B" wp14:editId="08D5A29A">
            <wp:extent cx="5283835" cy="8712835"/>
            <wp:effectExtent l="0" t="0" r="0" b="0"/>
            <wp:docPr id="1652991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3835" cy="8712835"/>
                    </a:xfrm>
                    <a:prstGeom prst="rect">
                      <a:avLst/>
                    </a:prstGeom>
                    <a:noFill/>
                    <a:ln>
                      <a:noFill/>
                    </a:ln>
                  </pic:spPr>
                </pic:pic>
              </a:graphicData>
            </a:graphic>
          </wp:inline>
        </w:drawing>
      </w:r>
    </w:p>
    <w:p w14:paraId="67EFDA26" w14:textId="14725881" w:rsidR="00C34009" w:rsidRDefault="00C34009" w:rsidP="002227B5">
      <w:pPr>
        <w:rPr>
          <w:rFonts w:ascii="Californian FB" w:hAnsi="Californian FB"/>
        </w:rPr>
      </w:pPr>
      <w:r w:rsidRPr="00C34009">
        <w:drawing>
          <wp:inline distT="0" distB="0" distL="0" distR="0" wp14:anchorId="1DC95612" wp14:editId="0144FF5C">
            <wp:extent cx="5734050" cy="5822950"/>
            <wp:effectExtent l="0" t="0" r="0" b="6350"/>
            <wp:docPr id="21384545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5822950"/>
                    </a:xfrm>
                    <a:prstGeom prst="rect">
                      <a:avLst/>
                    </a:prstGeom>
                    <a:noFill/>
                    <a:ln>
                      <a:noFill/>
                    </a:ln>
                  </pic:spPr>
                </pic:pic>
              </a:graphicData>
            </a:graphic>
          </wp:inline>
        </w:drawing>
      </w:r>
      <w:r w:rsidRPr="00C34009">
        <w:rPr>
          <w:rFonts w:ascii="Californian FB" w:hAnsi="Californian FB"/>
        </w:rPr>
        <w:t xml:space="preserve"> </w:t>
      </w:r>
      <w:r w:rsidRPr="00C34009">
        <w:drawing>
          <wp:inline distT="0" distB="0" distL="0" distR="0" wp14:anchorId="0333EE87" wp14:editId="05D9ED54">
            <wp:extent cx="5509895" cy="8712835"/>
            <wp:effectExtent l="0" t="0" r="0" b="0"/>
            <wp:docPr id="8523118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09895" cy="8712835"/>
                    </a:xfrm>
                    <a:prstGeom prst="rect">
                      <a:avLst/>
                    </a:prstGeom>
                    <a:noFill/>
                    <a:ln>
                      <a:noFill/>
                    </a:ln>
                  </pic:spPr>
                </pic:pic>
              </a:graphicData>
            </a:graphic>
          </wp:inline>
        </w:drawing>
      </w:r>
    </w:p>
    <w:p w14:paraId="105DB17D" w14:textId="77777777" w:rsidR="00C34009" w:rsidRDefault="00C34009" w:rsidP="00C34009">
      <w:pPr>
        <w:pStyle w:val="ListParagraph"/>
        <w:numPr>
          <w:ilvl w:val="0"/>
          <w:numId w:val="17"/>
        </w:numPr>
        <w:spacing w:after="0" w:line="240" w:lineRule="auto"/>
        <w:jc w:val="both"/>
        <w:rPr>
          <w:rFonts w:ascii="Californian FB" w:hAnsi="Californian FB"/>
        </w:rPr>
      </w:pPr>
      <w:bookmarkStart w:id="4" w:name="_Hlk187507964"/>
      <w:r w:rsidRPr="00CB4BE7">
        <w:rPr>
          <w:rFonts w:ascii="Californian FB" w:hAnsi="Californian FB"/>
        </w:rPr>
        <w:t>Provide knowledge about the importance of halal products in a wise and sustainable manner, while encouraging the promotion of halal products to support the development of strong religious attitudes.</w:t>
      </w:r>
    </w:p>
    <w:p w14:paraId="35E12A4B" w14:textId="6FBB2C17" w:rsidR="00C34009" w:rsidRPr="005B5020" w:rsidRDefault="00C34009" w:rsidP="005B5020">
      <w:pPr>
        <w:pStyle w:val="ListParagraph"/>
        <w:numPr>
          <w:ilvl w:val="0"/>
          <w:numId w:val="18"/>
        </w:numPr>
        <w:spacing w:after="0" w:line="240" w:lineRule="auto"/>
        <w:jc w:val="both"/>
        <w:rPr>
          <w:rFonts w:ascii="Californian FB" w:hAnsi="Californian FB"/>
        </w:rPr>
      </w:pPr>
      <w:r w:rsidRPr="005B5020">
        <w:rPr>
          <w:rFonts w:ascii="Californian FB" w:hAnsi="Californian FB"/>
          <w:b/>
          <w:bCs/>
        </w:rPr>
        <w:t>For the Government:</w:t>
      </w:r>
    </w:p>
    <w:p w14:paraId="608739C4" w14:textId="77777777" w:rsidR="005B5020" w:rsidRDefault="00C34009" w:rsidP="005B5020">
      <w:pPr>
        <w:pStyle w:val="ListParagraph"/>
        <w:numPr>
          <w:ilvl w:val="0"/>
          <w:numId w:val="16"/>
        </w:numPr>
        <w:spacing w:after="0" w:line="240" w:lineRule="auto"/>
        <w:jc w:val="both"/>
        <w:rPr>
          <w:rFonts w:ascii="Californian FB" w:hAnsi="Californian FB"/>
        </w:rPr>
      </w:pPr>
      <w:r w:rsidRPr="00CB4BE7">
        <w:rPr>
          <w:rFonts w:ascii="Californian FB" w:hAnsi="Californian FB"/>
        </w:rPr>
        <w:t>Use the results of this research as a consideration in planning and decision-making regarding the food and beverage industry, particularly in the implementation of halal certification programs.</w:t>
      </w:r>
    </w:p>
    <w:p w14:paraId="62323EC3" w14:textId="121817FD" w:rsidR="00C34009" w:rsidRPr="005B5020" w:rsidRDefault="00C34009" w:rsidP="005B5020">
      <w:pPr>
        <w:pStyle w:val="ListParagraph"/>
        <w:numPr>
          <w:ilvl w:val="0"/>
          <w:numId w:val="18"/>
        </w:numPr>
        <w:spacing w:after="0" w:line="240" w:lineRule="auto"/>
        <w:jc w:val="both"/>
        <w:rPr>
          <w:rFonts w:ascii="Californian FB" w:hAnsi="Californian FB"/>
        </w:rPr>
      </w:pPr>
      <w:r w:rsidRPr="005B5020">
        <w:rPr>
          <w:rFonts w:ascii="Californian FB" w:hAnsi="Californian FB"/>
          <w:b/>
          <w:bCs/>
        </w:rPr>
        <w:t>For Future Researchers:</w:t>
      </w:r>
    </w:p>
    <w:p w14:paraId="3C9EB06F" w14:textId="77777777" w:rsidR="00C34009" w:rsidRDefault="00C34009" w:rsidP="00C34009">
      <w:pPr>
        <w:pStyle w:val="ListParagraph"/>
        <w:numPr>
          <w:ilvl w:val="0"/>
          <w:numId w:val="15"/>
        </w:numPr>
        <w:spacing w:after="0" w:line="240" w:lineRule="auto"/>
        <w:jc w:val="both"/>
        <w:rPr>
          <w:rFonts w:ascii="Californian FB" w:hAnsi="Californian FB"/>
        </w:rPr>
      </w:pPr>
      <w:r w:rsidRPr="00CB4BE7">
        <w:rPr>
          <w:rFonts w:ascii="Californian FB" w:hAnsi="Californian FB"/>
        </w:rPr>
        <w:t>Expand the sample of the study to include various related stakeholders such as suppliers, distributors, or producers.</w:t>
      </w:r>
    </w:p>
    <w:p w14:paraId="2EE353E3" w14:textId="77777777" w:rsidR="00C34009" w:rsidRDefault="00C34009" w:rsidP="00C34009">
      <w:pPr>
        <w:pStyle w:val="ListParagraph"/>
        <w:numPr>
          <w:ilvl w:val="0"/>
          <w:numId w:val="15"/>
        </w:numPr>
        <w:spacing w:after="0" w:line="240" w:lineRule="auto"/>
        <w:jc w:val="both"/>
        <w:rPr>
          <w:rFonts w:ascii="Californian FB" w:hAnsi="Californian FB"/>
        </w:rPr>
      </w:pPr>
      <w:r w:rsidRPr="00CB4BE7">
        <w:rPr>
          <w:rFonts w:ascii="Californian FB" w:hAnsi="Californian FB"/>
        </w:rPr>
        <w:t>Further explore various variables, including emotional factors, personal needs, and social demands</w:t>
      </w:r>
      <w:r>
        <w:rPr>
          <w:rFonts w:ascii="Californian FB" w:hAnsi="Californian FB"/>
        </w:rPr>
        <w:t>.</w:t>
      </w:r>
    </w:p>
    <w:p w14:paraId="621602D4" w14:textId="77777777" w:rsidR="00C34009" w:rsidRPr="00CB4BE7" w:rsidRDefault="00C34009" w:rsidP="00C34009">
      <w:pPr>
        <w:pStyle w:val="ListParagraph"/>
        <w:numPr>
          <w:ilvl w:val="0"/>
          <w:numId w:val="15"/>
        </w:numPr>
        <w:spacing w:after="0" w:line="240" w:lineRule="auto"/>
        <w:jc w:val="both"/>
        <w:rPr>
          <w:rFonts w:ascii="Californian FB" w:hAnsi="Californian FB"/>
        </w:rPr>
      </w:pPr>
      <w:r w:rsidRPr="00CB4BE7">
        <w:rPr>
          <w:rFonts w:ascii="Californian FB" w:hAnsi="Californian FB"/>
        </w:rPr>
        <w:t>To develop the research further, it is recommended to expand the scope of the study, whether geographically, in terms of sample size, or in the number of variables considered. This will help in making the consumer behavior analysis more comprehensive and relevant to current conditions.</w:t>
      </w:r>
    </w:p>
    <w:bookmarkEnd w:id="4"/>
    <w:p w14:paraId="612EA9A9" w14:textId="5F315589" w:rsidR="00C34009" w:rsidRDefault="00C34009" w:rsidP="002227B5">
      <w:pPr>
        <w:rPr>
          <w:rFonts w:ascii="Californian FB" w:hAnsi="Californian FB"/>
        </w:rPr>
      </w:pPr>
    </w:p>
    <w:p w14:paraId="3C31B7F3" w14:textId="77777777" w:rsidR="005B5020" w:rsidRDefault="005B5020" w:rsidP="002227B5">
      <w:pPr>
        <w:rPr>
          <w:rFonts w:ascii="Californian FB" w:hAnsi="Californian FB"/>
        </w:rPr>
      </w:pPr>
    </w:p>
    <w:p w14:paraId="4B63BCE2" w14:textId="77777777" w:rsidR="005B5020" w:rsidRDefault="005B5020" w:rsidP="002227B5">
      <w:pPr>
        <w:rPr>
          <w:rFonts w:ascii="Californian FB" w:hAnsi="Californian FB"/>
        </w:rPr>
      </w:pPr>
    </w:p>
    <w:p w14:paraId="7FD5D895" w14:textId="77777777" w:rsidR="005B5020" w:rsidRDefault="005B5020" w:rsidP="002227B5">
      <w:pPr>
        <w:rPr>
          <w:rFonts w:ascii="Californian FB" w:hAnsi="Californian FB"/>
        </w:rPr>
      </w:pPr>
    </w:p>
    <w:p w14:paraId="1E2A1A97" w14:textId="77777777" w:rsidR="005B5020" w:rsidRDefault="005B5020" w:rsidP="002227B5">
      <w:pPr>
        <w:rPr>
          <w:rFonts w:ascii="Californian FB" w:hAnsi="Californian FB"/>
        </w:rPr>
      </w:pPr>
    </w:p>
    <w:p w14:paraId="6489E44B" w14:textId="77777777" w:rsidR="005B5020" w:rsidRDefault="005B5020" w:rsidP="002227B5">
      <w:pPr>
        <w:rPr>
          <w:rFonts w:ascii="Californian FB" w:hAnsi="Californian FB"/>
        </w:rPr>
      </w:pPr>
    </w:p>
    <w:p w14:paraId="6150CB76" w14:textId="77777777" w:rsidR="005B5020" w:rsidRDefault="005B5020" w:rsidP="002227B5">
      <w:pPr>
        <w:rPr>
          <w:rFonts w:ascii="Californian FB" w:hAnsi="Californian FB"/>
        </w:rPr>
      </w:pPr>
    </w:p>
    <w:p w14:paraId="04C5AE00" w14:textId="77777777" w:rsidR="005B5020" w:rsidRDefault="005B5020" w:rsidP="002227B5">
      <w:pPr>
        <w:rPr>
          <w:rFonts w:ascii="Californian FB" w:hAnsi="Californian FB"/>
        </w:rPr>
      </w:pPr>
    </w:p>
    <w:p w14:paraId="566C62CC" w14:textId="77777777" w:rsidR="005B5020" w:rsidRDefault="005B5020" w:rsidP="002227B5">
      <w:pPr>
        <w:rPr>
          <w:rFonts w:ascii="Californian FB" w:hAnsi="Californian FB"/>
        </w:rPr>
      </w:pPr>
    </w:p>
    <w:p w14:paraId="6C93672F" w14:textId="77777777" w:rsidR="005B5020" w:rsidRDefault="005B5020" w:rsidP="002227B5">
      <w:pPr>
        <w:rPr>
          <w:rFonts w:ascii="Californian FB" w:hAnsi="Californian FB"/>
        </w:rPr>
      </w:pPr>
    </w:p>
    <w:p w14:paraId="549AACA1" w14:textId="77777777" w:rsidR="005B5020" w:rsidRDefault="005B5020" w:rsidP="002227B5">
      <w:pPr>
        <w:rPr>
          <w:rFonts w:ascii="Californian FB" w:hAnsi="Californian FB"/>
        </w:rPr>
      </w:pPr>
    </w:p>
    <w:p w14:paraId="67228569" w14:textId="77777777" w:rsidR="005B5020" w:rsidRDefault="005B5020" w:rsidP="002227B5">
      <w:pPr>
        <w:rPr>
          <w:rFonts w:ascii="Californian FB" w:hAnsi="Californian FB"/>
        </w:rPr>
      </w:pPr>
    </w:p>
    <w:p w14:paraId="65F80C75" w14:textId="77777777" w:rsidR="005B5020" w:rsidRDefault="005B5020" w:rsidP="002227B5">
      <w:pPr>
        <w:rPr>
          <w:rFonts w:ascii="Californian FB" w:hAnsi="Californian FB"/>
        </w:rPr>
      </w:pPr>
    </w:p>
    <w:p w14:paraId="1CC5C236" w14:textId="77777777" w:rsidR="005B5020" w:rsidRDefault="005B5020" w:rsidP="002227B5">
      <w:pPr>
        <w:rPr>
          <w:rFonts w:ascii="Californian FB" w:hAnsi="Californian FB"/>
        </w:rPr>
      </w:pPr>
    </w:p>
    <w:p w14:paraId="5FFCDBD5" w14:textId="77777777" w:rsidR="005B5020" w:rsidRDefault="005B5020" w:rsidP="002227B5">
      <w:pPr>
        <w:rPr>
          <w:rFonts w:ascii="Californian FB" w:hAnsi="Californian FB"/>
        </w:rPr>
      </w:pPr>
    </w:p>
    <w:p w14:paraId="1445C68C" w14:textId="77777777" w:rsidR="005B5020" w:rsidRDefault="005B5020" w:rsidP="002227B5">
      <w:pPr>
        <w:rPr>
          <w:rFonts w:ascii="Californian FB" w:hAnsi="Californian FB"/>
        </w:rPr>
      </w:pPr>
    </w:p>
    <w:p w14:paraId="1F796866" w14:textId="77777777" w:rsidR="005B5020" w:rsidRDefault="005B5020" w:rsidP="002227B5">
      <w:pPr>
        <w:rPr>
          <w:rFonts w:ascii="Californian FB" w:hAnsi="Californian FB"/>
        </w:rPr>
      </w:pPr>
    </w:p>
    <w:p w14:paraId="10C20E0C" w14:textId="77777777" w:rsidR="005B5020" w:rsidRDefault="005B5020" w:rsidP="002227B5">
      <w:pPr>
        <w:rPr>
          <w:rFonts w:ascii="Californian FB" w:hAnsi="Californian FB"/>
        </w:rPr>
      </w:pPr>
    </w:p>
    <w:p w14:paraId="78877BAC" w14:textId="77777777" w:rsidR="005B5020" w:rsidRDefault="005B5020" w:rsidP="002227B5">
      <w:pPr>
        <w:rPr>
          <w:rFonts w:ascii="Californian FB" w:hAnsi="Californian FB"/>
        </w:rPr>
      </w:pPr>
    </w:p>
    <w:p w14:paraId="27AFE899" w14:textId="77777777" w:rsidR="005B5020" w:rsidRDefault="005B5020" w:rsidP="002227B5">
      <w:pPr>
        <w:rPr>
          <w:rFonts w:ascii="Californian FB" w:hAnsi="Californian FB"/>
        </w:rPr>
      </w:pPr>
    </w:p>
    <w:p w14:paraId="64D7ED3E" w14:textId="77777777" w:rsidR="005B5020" w:rsidRDefault="005B5020" w:rsidP="002227B5">
      <w:pPr>
        <w:rPr>
          <w:rFonts w:ascii="Californian FB" w:hAnsi="Californian FB"/>
        </w:rPr>
      </w:pPr>
    </w:p>
    <w:p w14:paraId="2AF7E132" w14:textId="77777777" w:rsidR="005B5020" w:rsidRDefault="005B5020" w:rsidP="002227B5">
      <w:pPr>
        <w:rPr>
          <w:rFonts w:ascii="Californian FB" w:hAnsi="Californian FB"/>
        </w:rPr>
      </w:pPr>
    </w:p>
    <w:p w14:paraId="0F948333" w14:textId="77777777" w:rsidR="005B5020" w:rsidRDefault="005B5020" w:rsidP="002227B5">
      <w:pPr>
        <w:rPr>
          <w:rFonts w:ascii="Californian FB" w:hAnsi="Californian FB"/>
        </w:rPr>
      </w:pPr>
    </w:p>
    <w:p w14:paraId="13DE6186" w14:textId="514B293B" w:rsidR="005B5020" w:rsidRPr="002227B5" w:rsidRDefault="005B5020" w:rsidP="002227B5">
      <w:pPr>
        <w:rPr>
          <w:rFonts w:ascii="Californian FB" w:hAnsi="Californian FB"/>
        </w:rPr>
      </w:pPr>
      <w:r w:rsidRPr="005B5020">
        <w:drawing>
          <wp:inline distT="0" distB="0" distL="0" distR="0" wp14:anchorId="5E046B53" wp14:editId="4387F191">
            <wp:extent cx="5734050" cy="8667750"/>
            <wp:effectExtent l="0" t="0" r="0" b="0"/>
            <wp:docPr id="4260262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4050" cy="8667750"/>
                    </a:xfrm>
                    <a:prstGeom prst="rect">
                      <a:avLst/>
                    </a:prstGeom>
                    <a:noFill/>
                    <a:ln>
                      <a:noFill/>
                    </a:ln>
                  </pic:spPr>
                </pic:pic>
              </a:graphicData>
            </a:graphic>
          </wp:inline>
        </w:drawing>
      </w:r>
    </w:p>
    <w:sectPr w:rsidR="005B5020" w:rsidRPr="002227B5">
      <w:headerReference w:type="default" r:id="rId25"/>
      <w:pgSz w:w="11907" w:h="16840"/>
      <w:pgMar w:top="1701" w:right="1418" w:bottom="1418" w:left="1418" w:header="1077" w:footer="1134" w:gutter="0"/>
      <w:pgNumType w:start="2"/>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8800" w14:textId="77777777" w:rsidR="008E34F9" w:rsidRDefault="008E34F9">
      <w:pPr>
        <w:spacing w:line="240" w:lineRule="auto"/>
      </w:pPr>
      <w:r>
        <w:separator/>
      </w:r>
    </w:p>
  </w:endnote>
  <w:endnote w:type="continuationSeparator" w:id="0">
    <w:p w14:paraId="7D4DDCBE" w14:textId="77777777" w:rsidR="008E34F9" w:rsidRDefault="008E34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A29C" w14:textId="77777777" w:rsidR="008E34F9" w:rsidRDefault="008E34F9">
      <w:pPr>
        <w:spacing w:after="0"/>
      </w:pPr>
      <w:r>
        <w:separator/>
      </w:r>
    </w:p>
  </w:footnote>
  <w:footnote w:type="continuationSeparator" w:id="0">
    <w:p w14:paraId="684B6FD1" w14:textId="77777777" w:rsidR="008E34F9" w:rsidRDefault="008E34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682E" w14:textId="598C7847" w:rsidR="00B56E27" w:rsidRPr="00A17813" w:rsidRDefault="00A17813" w:rsidP="00A17813">
    <w:pPr>
      <w:pStyle w:val="Header"/>
      <w:rPr>
        <w:rFonts w:cstheme="minorHAnsi"/>
        <w:sz w:val="18"/>
        <w:szCs w:val="18"/>
      </w:rPr>
    </w:pPr>
    <w:r>
      <w:rPr>
        <w:noProof/>
      </w:rPr>
      <w:drawing>
        <wp:anchor distT="0" distB="0" distL="114300" distR="114300" simplePos="0" relativeHeight="251659264" behindDoc="0" locked="0" layoutInCell="1" allowOverlap="1" wp14:anchorId="1830AFC8" wp14:editId="743CE2E0">
          <wp:simplePos x="0" y="0"/>
          <wp:positionH relativeFrom="column">
            <wp:posOffset>4267543</wp:posOffset>
          </wp:positionH>
          <wp:positionV relativeFrom="paragraph">
            <wp:posOffset>-356870</wp:posOffset>
          </wp:positionV>
          <wp:extent cx="1630680" cy="407670"/>
          <wp:effectExtent l="0" t="0" r="7620" b="0"/>
          <wp:wrapTopAndBottom/>
          <wp:docPr id="814595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Cs/>
        <w:sz w:val="18"/>
        <w:szCs w:val="18"/>
      </w:rPr>
      <w:tab/>
    </w:r>
    <w:r>
      <w:rPr>
        <w:rFonts w:cstheme="minorHAnsi"/>
        <w:bCs/>
        <w:sz w:val="18"/>
        <w:szCs w:val="18"/>
      </w:rPr>
      <w:tab/>
    </w:r>
    <w:hyperlink r:id="rId2" w:history="1">
      <w:r w:rsidR="009E2ABC" w:rsidRPr="00A17813">
        <w:rPr>
          <w:rFonts w:cstheme="minorHAnsi"/>
          <w:sz w:val="18"/>
          <w:szCs w:val="18"/>
        </w:rPr>
        <w:t>IJMA: Indonesian Journal of Management and Accounting</w:t>
      </w:r>
    </w:hyperlink>
  </w:p>
  <w:p w14:paraId="0F9F996F" w14:textId="049271E8" w:rsidR="00B56E27" w:rsidRPr="00A17813" w:rsidRDefault="00B56E27" w:rsidP="00B56E27">
    <w:pPr>
      <w:pStyle w:val="Footer"/>
      <w:tabs>
        <w:tab w:val="left" w:pos="2934"/>
      </w:tabs>
      <w:jc w:val="right"/>
      <w:rPr>
        <w:rFonts w:cstheme="minorHAnsi"/>
        <w:bCs/>
        <w:sz w:val="18"/>
        <w:szCs w:val="18"/>
      </w:rPr>
    </w:pPr>
    <w:r w:rsidRPr="00A17813">
      <w:rPr>
        <w:rFonts w:cstheme="minorHAnsi"/>
        <w:bCs/>
        <w:sz w:val="18"/>
        <w:szCs w:val="18"/>
      </w:rPr>
      <w:t xml:space="preserve">ISSN: </w:t>
    </w:r>
    <w:r w:rsidR="009E2ABC" w:rsidRPr="00A17813">
      <w:rPr>
        <w:rFonts w:cstheme="minorHAnsi"/>
        <w:color w:val="333333"/>
        <w:sz w:val="18"/>
        <w:szCs w:val="18"/>
        <w:shd w:val="clear" w:color="auto" w:fill="FFFFFF"/>
      </w:rPr>
      <w:t>3032-6508</w:t>
    </w:r>
    <w:r w:rsidRPr="00A17813">
      <w:rPr>
        <w:rFonts w:cstheme="minorHAnsi"/>
        <w:bCs/>
        <w:sz w:val="18"/>
        <w:szCs w:val="18"/>
      </w:rPr>
      <w:t xml:space="preserve"> (e) &amp; </w:t>
    </w:r>
    <w:r w:rsidR="009E2ABC" w:rsidRPr="00A17813">
      <w:rPr>
        <w:rFonts w:cstheme="minorHAnsi"/>
        <w:color w:val="333333"/>
        <w:sz w:val="18"/>
        <w:szCs w:val="18"/>
        <w:shd w:val="clear" w:color="auto" w:fill="FFFFFF"/>
      </w:rPr>
      <w:t>2746-6388</w:t>
    </w:r>
    <w:r w:rsidRPr="00A17813">
      <w:rPr>
        <w:rFonts w:cstheme="minorHAnsi"/>
        <w:bCs/>
        <w:sz w:val="18"/>
        <w:szCs w:val="18"/>
      </w:rPr>
      <w:t xml:space="preserve"> (p)</w:t>
    </w:r>
  </w:p>
  <w:p w14:paraId="41A5366B" w14:textId="3611F4C2" w:rsidR="00B56E27" w:rsidRPr="00A17813" w:rsidRDefault="00B56E27" w:rsidP="00B56E27">
    <w:pPr>
      <w:pStyle w:val="Header"/>
      <w:jc w:val="right"/>
      <w:rPr>
        <w:rFonts w:cstheme="minorHAnsi"/>
        <w:bCs/>
        <w:sz w:val="18"/>
        <w:szCs w:val="18"/>
      </w:rPr>
    </w:pPr>
    <w:r w:rsidRPr="00A17813">
      <w:rPr>
        <w:rFonts w:cstheme="minorHAnsi"/>
        <w:bCs/>
        <w:sz w:val="18"/>
        <w:szCs w:val="18"/>
      </w:rPr>
      <w:tab/>
      <w:t>Vol. 1</w:t>
    </w:r>
    <w:r w:rsidR="00035461" w:rsidRPr="00A17813">
      <w:rPr>
        <w:rFonts w:cstheme="minorHAnsi"/>
        <w:bCs/>
        <w:sz w:val="18"/>
        <w:szCs w:val="18"/>
      </w:rPr>
      <w:t>5</w:t>
    </w:r>
    <w:r w:rsidRPr="00A17813">
      <w:rPr>
        <w:rFonts w:cstheme="minorHAnsi"/>
        <w:bCs/>
        <w:sz w:val="18"/>
        <w:szCs w:val="18"/>
      </w:rPr>
      <w:t>, No. 1, 202</w:t>
    </w:r>
    <w:r w:rsidR="00035461" w:rsidRPr="00A17813">
      <w:rPr>
        <w:rFonts w:cstheme="minorHAnsi"/>
        <w:bCs/>
        <w:sz w:val="18"/>
        <w:szCs w:val="18"/>
      </w:rPr>
      <w:t>5</w:t>
    </w:r>
    <w:r w:rsidRPr="00A17813">
      <w:rPr>
        <w:rFonts w:cstheme="minorHAnsi"/>
        <w:bCs/>
        <w:sz w:val="18"/>
        <w:szCs w:val="18"/>
      </w:rPr>
      <w:t xml:space="preserve">, pp. xx-xx, </w:t>
    </w:r>
  </w:p>
  <w:p w14:paraId="43E90324" w14:textId="62F10EF7" w:rsidR="009E2ABC" w:rsidRPr="00A17813" w:rsidRDefault="00B56E27" w:rsidP="009E2ABC">
    <w:pPr>
      <w:pStyle w:val="Footer"/>
      <w:tabs>
        <w:tab w:val="left" w:pos="2934"/>
      </w:tabs>
      <w:jc w:val="right"/>
      <w:rPr>
        <w:rFonts w:cstheme="minorHAnsi"/>
        <w:bCs/>
        <w:color w:val="4472C4" w:themeColor="accent5"/>
        <w:sz w:val="18"/>
        <w:szCs w:val="18"/>
      </w:rPr>
    </w:pPr>
    <w:r w:rsidRPr="00A17813">
      <w:rPr>
        <w:rFonts w:cstheme="minorHAnsi"/>
        <w:bCs/>
        <w:color w:val="4472C4" w:themeColor="accent5"/>
        <w:sz w:val="18"/>
        <w:szCs w:val="18"/>
      </w:rPr>
      <w:t xml:space="preserve">doi: </w:t>
    </w:r>
    <w:hyperlink r:id="rId3" w:history="1">
      <w:r w:rsidR="009E2ABC" w:rsidRPr="00A17813">
        <w:rPr>
          <w:rFonts w:cstheme="minorHAnsi"/>
          <w:color w:val="4472C4" w:themeColor="accent5"/>
          <w:sz w:val="18"/>
          <w:szCs w:val="18"/>
        </w:rPr>
        <w:t>10.21927/ijma</w:t>
      </w:r>
    </w:hyperlink>
  </w:p>
  <w:p w14:paraId="14DF9127" w14:textId="77777777" w:rsidR="00B56E27" w:rsidRPr="00A17813" w:rsidRDefault="00B56E27" w:rsidP="00B56E27">
    <w:pPr>
      <w:pStyle w:val="Header"/>
      <w:jc w:val="right"/>
      <w:rPr>
        <w:rFonts w:cstheme="minorHAnsi"/>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549F" w14:textId="213B9AD9" w:rsidR="00A67F58" w:rsidRDefault="00825BC7">
    <w:pPr>
      <w:pStyle w:val="Header"/>
      <w:tabs>
        <w:tab w:val="clear" w:pos="9360"/>
        <w:tab w:val="right" w:pos="9071"/>
      </w:tabs>
      <w:rPr>
        <w:b/>
        <w:i/>
      </w:rPr>
    </w:pPr>
    <w:r>
      <w:rPr>
        <w:b/>
        <w:i/>
        <w:lang w:val="sv-SE"/>
      </w:rPr>
      <w:tab/>
    </w:r>
    <w:r>
      <w:rPr>
        <w:b/>
        <w:i/>
      </w:rPr>
      <w:tab/>
    </w:r>
    <w:r w:rsidRPr="00A1550A">
      <w:rPr>
        <w:b/>
      </w:rPr>
      <w:fldChar w:fldCharType="begin"/>
    </w:r>
    <w:r w:rsidRPr="00A1550A">
      <w:rPr>
        <w:b/>
      </w:rPr>
      <w:instrText xml:space="preserve"> PAGE   \* MERGEFORMAT </w:instrText>
    </w:r>
    <w:r w:rsidRPr="00A1550A">
      <w:rPr>
        <w:b/>
      </w:rPr>
      <w:fldChar w:fldCharType="separate"/>
    </w:r>
    <w:r w:rsidR="0089054A" w:rsidRPr="00A1550A">
      <w:rPr>
        <w:b/>
        <w:noProof/>
      </w:rPr>
      <w:t>6</w:t>
    </w:r>
    <w:r w:rsidRPr="00A1550A">
      <w:rPr>
        <w:b/>
      </w:rPr>
      <w:fldChar w:fldCharType="end"/>
    </w: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9D"/>
    <w:multiLevelType w:val="hybridMultilevel"/>
    <w:tmpl w:val="E9A623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B19F7"/>
    <w:multiLevelType w:val="multilevel"/>
    <w:tmpl w:val="9AE4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D52CE"/>
    <w:multiLevelType w:val="multilevel"/>
    <w:tmpl w:val="17E287BA"/>
    <w:lvl w:ilvl="0">
      <w:start w:val="1"/>
      <w:numFmt w:val="decimal"/>
      <w:lvlText w:val="%1."/>
      <w:lvlJc w:val="left"/>
      <w:pPr>
        <w:ind w:left="720" w:hanging="360"/>
      </w:pPr>
      <w:rPr>
        <w:rFonts w:asciiTheme="minorHAnsi" w:eastAsia="Cambria" w:hAnsiTheme="minorHAnsi" w:cstheme="minorHAns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97310"/>
    <w:multiLevelType w:val="multilevel"/>
    <w:tmpl w:val="EF008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1295D"/>
    <w:multiLevelType w:val="multilevel"/>
    <w:tmpl w:val="41A8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777F7"/>
    <w:multiLevelType w:val="hybridMultilevel"/>
    <w:tmpl w:val="FCA4B0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FF4C7A"/>
    <w:multiLevelType w:val="hybridMultilevel"/>
    <w:tmpl w:val="003EC1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A390F"/>
    <w:multiLevelType w:val="hybridMultilevel"/>
    <w:tmpl w:val="7402FC18"/>
    <w:lvl w:ilvl="0" w:tplc="DABCFE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F6A2499"/>
    <w:multiLevelType w:val="hybridMultilevel"/>
    <w:tmpl w:val="607C1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8D7E3F"/>
    <w:multiLevelType w:val="multilevel"/>
    <w:tmpl w:val="328D7E3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259D7"/>
    <w:multiLevelType w:val="multilevel"/>
    <w:tmpl w:val="A418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62BF9"/>
    <w:multiLevelType w:val="multilevel"/>
    <w:tmpl w:val="49CC8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D33B36"/>
    <w:multiLevelType w:val="hybridMultilevel"/>
    <w:tmpl w:val="402EA506"/>
    <w:lvl w:ilvl="0" w:tplc="1E9E0B1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6A2F"/>
    <w:multiLevelType w:val="hybridMultilevel"/>
    <w:tmpl w:val="435C7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395476"/>
    <w:multiLevelType w:val="hybridMultilevel"/>
    <w:tmpl w:val="13AAA8A0"/>
    <w:lvl w:ilvl="0" w:tplc="DABCFE1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17"/>
  </w:num>
  <w:num w:numId="2" w16cid:durableId="1305157208">
    <w:abstractNumId w:val="15"/>
  </w:num>
  <w:num w:numId="3" w16cid:durableId="1407998969">
    <w:abstractNumId w:val="10"/>
  </w:num>
  <w:num w:numId="4" w16cid:durableId="1819610323">
    <w:abstractNumId w:val="8"/>
  </w:num>
  <w:num w:numId="5" w16cid:durableId="1757241512">
    <w:abstractNumId w:val="2"/>
  </w:num>
  <w:num w:numId="6" w16cid:durableId="904491813">
    <w:abstractNumId w:val="6"/>
  </w:num>
  <w:num w:numId="7" w16cid:durableId="1810629460">
    <w:abstractNumId w:val="4"/>
  </w:num>
  <w:num w:numId="8" w16cid:durableId="191387585">
    <w:abstractNumId w:val="3"/>
  </w:num>
  <w:num w:numId="9" w16cid:durableId="885873474">
    <w:abstractNumId w:val="1"/>
  </w:num>
  <w:num w:numId="10" w16cid:durableId="373118380">
    <w:abstractNumId w:val="16"/>
  </w:num>
  <w:num w:numId="11" w16cid:durableId="701587986">
    <w:abstractNumId w:val="7"/>
  </w:num>
  <w:num w:numId="12" w16cid:durableId="847331505">
    <w:abstractNumId w:val="11"/>
  </w:num>
  <w:num w:numId="13" w16cid:durableId="1860271007">
    <w:abstractNumId w:val="14"/>
  </w:num>
  <w:num w:numId="14" w16cid:durableId="476458070">
    <w:abstractNumId w:val="12"/>
  </w:num>
  <w:num w:numId="15" w16cid:durableId="1637174650">
    <w:abstractNumId w:val="5"/>
  </w:num>
  <w:num w:numId="16" w16cid:durableId="1752701019">
    <w:abstractNumId w:val="0"/>
  </w:num>
  <w:num w:numId="17" w16cid:durableId="1258708695">
    <w:abstractNumId w:val="9"/>
  </w:num>
  <w:num w:numId="18" w16cid:durableId="1257400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QUAJ6FaWCwAAAA="/>
  </w:docVars>
  <w:rsids>
    <w:rsidRoot w:val="005650A4"/>
    <w:rsid w:val="ED3F0F0C"/>
    <w:rsid w:val="F7E75899"/>
    <w:rsid w:val="F93F5A64"/>
    <w:rsid w:val="FBEBE8A2"/>
    <w:rsid w:val="FBFBA81B"/>
    <w:rsid w:val="00004EA7"/>
    <w:rsid w:val="000078C4"/>
    <w:rsid w:val="00013302"/>
    <w:rsid w:val="00025DB6"/>
    <w:rsid w:val="00035461"/>
    <w:rsid w:val="00063C62"/>
    <w:rsid w:val="00065E24"/>
    <w:rsid w:val="000A42D7"/>
    <w:rsid w:val="000B2849"/>
    <w:rsid w:val="000B35C6"/>
    <w:rsid w:val="000C21B4"/>
    <w:rsid w:val="000D7C58"/>
    <w:rsid w:val="000E5900"/>
    <w:rsid w:val="000F17D3"/>
    <w:rsid w:val="001030F4"/>
    <w:rsid w:val="001051DE"/>
    <w:rsid w:val="00114C46"/>
    <w:rsid w:val="00136424"/>
    <w:rsid w:val="00145CC5"/>
    <w:rsid w:val="001571C4"/>
    <w:rsid w:val="001B70F5"/>
    <w:rsid w:val="001C3FDB"/>
    <w:rsid w:val="001E6D02"/>
    <w:rsid w:val="001F530F"/>
    <w:rsid w:val="00216425"/>
    <w:rsid w:val="002227B5"/>
    <w:rsid w:val="002259AD"/>
    <w:rsid w:val="002336B9"/>
    <w:rsid w:val="00277062"/>
    <w:rsid w:val="00285A43"/>
    <w:rsid w:val="002A7B2A"/>
    <w:rsid w:val="002B1A69"/>
    <w:rsid w:val="002D7413"/>
    <w:rsid w:val="002E5034"/>
    <w:rsid w:val="00301E29"/>
    <w:rsid w:val="003159B5"/>
    <w:rsid w:val="003204D6"/>
    <w:rsid w:val="003249DF"/>
    <w:rsid w:val="0036502D"/>
    <w:rsid w:val="00375867"/>
    <w:rsid w:val="003B76A4"/>
    <w:rsid w:val="00424746"/>
    <w:rsid w:val="00437227"/>
    <w:rsid w:val="00443468"/>
    <w:rsid w:val="00447AD8"/>
    <w:rsid w:val="0045519C"/>
    <w:rsid w:val="0047797E"/>
    <w:rsid w:val="0049472D"/>
    <w:rsid w:val="004963B8"/>
    <w:rsid w:val="004A17AE"/>
    <w:rsid w:val="004C537E"/>
    <w:rsid w:val="004D6876"/>
    <w:rsid w:val="004E3578"/>
    <w:rsid w:val="004F61D6"/>
    <w:rsid w:val="00501F68"/>
    <w:rsid w:val="005030F7"/>
    <w:rsid w:val="0050367E"/>
    <w:rsid w:val="0052005B"/>
    <w:rsid w:val="00523041"/>
    <w:rsid w:val="00524297"/>
    <w:rsid w:val="005347CA"/>
    <w:rsid w:val="00547A52"/>
    <w:rsid w:val="005543F0"/>
    <w:rsid w:val="00556B46"/>
    <w:rsid w:val="005650A4"/>
    <w:rsid w:val="00581264"/>
    <w:rsid w:val="005960CF"/>
    <w:rsid w:val="005A2492"/>
    <w:rsid w:val="005B5020"/>
    <w:rsid w:val="005D5C2F"/>
    <w:rsid w:val="005D626C"/>
    <w:rsid w:val="00613360"/>
    <w:rsid w:val="00613714"/>
    <w:rsid w:val="00617AF1"/>
    <w:rsid w:val="00646626"/>
    <w:rsid w:val="00675E55"/>
    <w:rsid w:val="00686CC0"/>
    <w:rsid w:val="00691542"/>
    <w:rsid w:val="006A1DDC"/>
    <w:rsid w:val="006A538F"/>
    <w:rsid w:val="006A7CD3"/>
    <w:rsid w:val="006B0C76"/>
    <w:rsid w:val="006C389F"/>
    <w:rsid w:val="006C480D"/>
    <w:rsid w:val="006E7A51"/>
    <w:rsid w:val="0071766A"/>
    <w:rsid w:val="00736C06"/>
    <w:rsid w:val="00745B5B"/>
    <w:rsid w:val="00761055"/>
    <w:rsid w:val="00765098"/>
    <w:rsid w:val="00784947"/>
    <w:rsid w:val="007A27E9"/>
    <w:rsid w:val="007D6383"/>
    <w:rsid w:val="007F3D15"/>
    <w:rsid w:val="007F3E68"/>
    <w:rsid w:val="007F7253"/>
    <w:rsid w:val="007F76D7"/>
    <w:rsid w:val="008029F1"/>
    <w:rsid w:val="00813B0C"/>
    <w:rsid w:val="00825BC7"/>
    <w:rsid w:val="0084297E"/>
    <w:rsid w:val="008500DA"/>
    <w:rsid w:val="00867BC4"/>
    <w:rsid w:val="0089054A"/>
    <w:rsid w:val="008A3621"/>
    <w:rsid w:val="008B2086"/>
    <w:rsid w:val="008B3148"/>
    <w:rsid w:val="008E0AE5"/>
    <w:rsid w:val="008E34F9"/>
    <w:rsid w:val="008F2153"/>
    <w:rsid w:val="00907CC8"/>
    <w:rsid w:val="00912837"/>
    <w:rsid w:val="00950B06"/>
    <w:rsid w:val="00966762"/>
    <w:rsid w:val="00970644"/>
    <w:rsid w:val="009C2E65"/>
    <w:rsid w:val="009C3891"/>
    <w:rsid w:val="009E2ABC"/>
    <w:rsid w:val="009F7AED"/>
    <w:rsid w:val="00A1550A"/>
    <w:rsid w:val="00A1570E"/>
    <w:rsid w:val="00A17813"/>
    <w:rsid w:val="00A3453D"/>
    <w:rsid w:val="00A44F9A"/>
    <w:rsid w:val="00A475B4"/>
    <w:rsid w:val="00A67F58"/>
    <w:rsid w:val="00A70A1E"/>
    <w:rsid w:val="00A75746"/>
    <w:rsid w:val="00A86DD4"/>
    <w:rsid w:val="00A97112"/>
    <w:rsid w:val="00AC538B"/>
    <w:rsid w:val="00B40987"/>
    <w:rsid w:val="00B56E27"/>
    <w:rsid w:val="00B67B0B"/>
    <w:rsid w:val="00B712B7"/>
    <w:rsid w:val="00B7756E"/>
    <w:rsid w:val="00B80FF1"/>
    <w:rsid w:val="00B830A2"/>
    <w:rsid w:val="00BB5818"/>
    <w:rsid w:val="00BB7671"/>
    <w:rsid w:val="00C0416C"/>
    <w:rsid w:val="00C103E5"/>
    <w:rsid w:val="00C12DFC"/>
    <w:rsid w:val="00C17760"/>
    <w:rsid w:val="00C26FFB"/>
    <w:rsid w:val="00C34009"/>
    <w:rsid w:val="00C450FE"/>
    <w:rsid w:val="00C55209"/>
    <w:rsid w:val="00C7396C"/>
    <w:rsid w:val="00C90291"/>
    <w:rsid w:val="00CA1C6B"/>
    <w:rsid w:val="00CE2213"/>
    <w:rsid w:val="00CE6F01"/>
    <w:rsid w:val="00CE7F70"/>
    <w:rsid w:val="00CF2CCA"/>
    <w:rsid w:val="00CF7EC4"/>
    <w:rsid w:val="00D01155"/>
    <w:rsid w:val="00D02753"/>
    <w:rsid w:val="00D02DBC"/>
    <w:rsid w:val="00D33848"/>
    <w:rsid w:val="00D34E4D"/>
    <w:rsid w:val="00D623C7"/>
    <w:rsid w:val="00DA7AD6"/>
    <w:rsid w:val="00DB7626"/>
    <w:rsid w:val="00DD3E8A"/>
    <w:rsid w:val="00DD455D"/>
    <w:rsid w:val="00E410BF"/>
    <w:rsid w:val="00E505A6"/>
    <w:rsid w:val="00E628A0"/>
    <w:rsid w:val="00E63BD0"/>
    <w:rsid w:val="00E709A5"/>
    <w:rsid w:val="00E70EBC"/>
    <w:rsid w:val="00E75EBA"/>
    <w:rsid w:val="00E84806"/>
    <w:rsid w:val="00E95657"/>
    <w:rsid w:val="00EA2986"/>
    <w:rsid w:val="00EA6BFE"/>
    <w:rsid w:val="00EC0FE8"/>
    <w:rsid w:val="00EC7FE3"/>
    <w:rsid w:val="00EE3405"/>
    <w:rsid w:val="00F03310"/>
    <w:rsid w:val="00F146CE"/>
    <w:rsid w:val="00F355EB"/>
    <w:rsid w:val="00F441FD"/>
    <w:rsid w:val="00F51116"/>
    <w:rsid w:val="00F67B60"/>
    <w:rsid w:val="00F70864"/>
    <w:rsid w:val="00F80500"/>
    <w:rsid w:val="00F97FF3"/>
    <w:rsid w:val="00FD60D2"/>
    <w:rsid w:val="00FE0059"/>
    <w:rsid w:val="00FE051A"/>
    <w:rsid w:val="00FE0778"/>
    <w:rsid w:val="2C8FD808"/>
    <w:rsid w:val="3DBFC16A"/>
    <w:rsid w:val="4EFFC72C"/>
    <w:rsid w:val="73FF4E0D"/>
    <w:rsid w:val="7F3B59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6133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 w:type="character" w:customStyle="1" w:styleId="Heading1Char">
    <w:name w:val="Heading 1 Char"/>
    <w:basedOn w:val="DefaultParagraphFont"/>
    <w:link w:val="Heading1"/>
    <w:uiPriority w:val="9"/>
    <w:rsid w:val="0061336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C480D"/>
    <w:rPr>
      <w:color w:val="605E5C"/>
      <w:shd w:val="clear" w:color="auto" w:fill="E1DFDD"/>
    </w:rPr>
  </w:style>
  <w:style w:type="table" w:customStyle="1" w:styleId="TableGrid1">
    <w:name w:val="Table Grid1"/>
    <w:basedOn w:val="TableGrid6"/>
    <w:next w:val="TableGrid"/>
    <w:uiPriority w:val="59"/>
    <w:rsid w:val="002336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336B9"/>
    <w:pPr>
      <w:spacing w:after="16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yifa021004@gmail.com"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creativecommons.org/licenses/by-sa/4.0/?ref=chooser-v1"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Dafiarsyarif24@gmail.com"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dx.doi.org/10.21927/ijma.2023.4(2).67-73"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Asus Asus cell</cp:lastModifiedBy>
  <cp:revision>2</cp:revision>
  <cp:lastPrinted>2018-10-25T11:37:00Z</cp:lastPrinted>
  <dcterms:created xsi:type="dcterms:W3CDTF">2025-01-11T10:15:00Z</dcterms:created>
  <dcterms:modified xsi:type="dcterms:W3CDTF">2025-01-11T10:15:00Z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y fmtid="{D5CDD505-2E9C-101B-9397-08002B2CF9AE}" pid="3" name="GrammarlyDocumentId">
    <vt:lpwstr>bac7c698abcedc29f4b0e85c1eefd6c3576170cb8bdf1491d1b9f6715d1813f1</vt:lpwstr>
  </property>
</Properties>
</file>