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BBF297" w14:textId="77777777" w:rsidR="00A27BA3" w:rsidRDefault="008537E0">
      <w:pPr>
        <w:spacing w:after="60" w:line="240" w:lineRule="auto"/>
        <w:rPr>
          <w:rFonts w:ascii="Cambria" w:eastAsia="Cambria" w:hAnsi="Cambria" w:cs="Cambria"/>
          <w:i/>
        </w:rPr>
      </w:pPr>
      <w:r>
        <w:rPr>
          <w:noProof/>
          <w:lang w:val="id-ID" w:eastAsia="id-ID"/>
        </w:rPr>
        <mc:AlternateContent>
          <mc:Choice Requires="wpg">
            <w:drawing>
              <wp:anchor distT="0" distB="0" distL="114300" distR="114300" simplePos="0" relativeHeight="251658240" behindDoc="0" locked="0" layoutInCell="1" hidden="0" allowOverlap="1" wp14:anchorId="10AE7468" wp14:editId="0FB482B1">
                <wp:simplePos x="0" y="0"/>
                <wp:positionH relativeFrom="column">
                  <wp:posOffset>1</wp:posOffset>
                </wp:positionH>
                <wp:positionV relativeFrom="paragraph">
                  <wp:posOffset>25400</wp:posOffset>
                </wp:positionV>
                <wp:extent cx="5101390" cy="12700"/>
                <wp:effectExtent l="0" t="0" r="0" b="0"/>
                <wp:wrapNone/>
                <wp:docPr id="35" name="Straight Arrow Connector 35"/>
                <wp:cNvGraphicFramePr/>
                <a:graphic xmlns:a="http://schemas.openxmlformats.org/drawingml/2006/main">
                  <a:graphicData uri="http://schemas.microsoft.com/office/word/2010/wordprocessingShape">
                    <wps:wsp>
                      <wps:cNvCnPr/>
                      <wps:spPr>
                        <a:xfrm>
                          <a:off x="2795305" y="3780000"/>
                          <a:ext cx="5101390" cy="0"/>
                        </a:xfrm>
                        <a:prstGeom prst="straightConnector1">
                          <a:avLst/>
                        </a:prstGeom>
                        <a:noFill/>
                        <a:ln w="9525" cap="flat" cmpd="sng">
                          <a:solidFill>
                            <a:srgbClr val="6D0303"/>
                          </a:solidFill>
                          <a:prstDash val="solid"/>
                          <a:miter lim="800000"/>
                          <a:headEnd type="none" w="sm" len="sm"/>
                          <a:tailEnd type="none" w="sm" len="sm"/>
                        </a:ln>
                      </wps:spPr>
                      <wps:bodyPr/>
                    </wps:wsp>
                  </a:graphicData>
                </a:graphic>
              </wp:anchor>
            </w:drawing>
          </mc:Choice>
          <mc:Fallback xmlns:w16du="http://schemas.microsoft.com/office/word/2023/wordml/word16du"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1</wp:posOffset>
                </wp:positionH>
                <wp:positionV relativeFrom="paragraph">
                  <wp:posOffset>25400</wp:posOffset>
                </wp:positionV>
                <wp:extent cx="5101390" cy="12700"/>
                <wp:effectExtent b="0" l="0" r="0" t="0"/>
                <wp:wrapNone/>
                <wp:docPr id="35"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5101390" cy="12700"/>
                        </a:xfrm>
                        <a:prstGeom prst="rect"/>
                        <a:ln/>
                      </pic:spPr>
                    </pic:pic>
                  </a:graphicData>
                </a:graphic>
              </wp:anchor>
            </w:drawing>
          </mc:Fallback>
        </mc:AlternateContent>
      </w:r>
    </w:p>
    <w:p w14:paraId="04D064D6" w14:textId="071FCB63" w:rsidR="00591BBA" w:rsidRPr="00591BBA" w:rsidRDefault="00591BBA" w:rsidP="00591BBA">
      <w:pPr>
        <w:spacing w:line="252" w:lineRule="auto"/>
        <w:rPr>
          <w:rFonts w:ascii="Cambria" w:hAnsi="Cambria"/>
          <w:b/>
          <w:sz w:val="40"/>
          <w:szCs w:val="40"/>
        </w:rPr>
      </w:pPr>
      <w:bookmarkStart w:id="0" w:name="_heading=h.gjdgxs" w:colFirst="0" w:colLast="0"/>
      <w:bookmarkEnd w:id="0"/>
      <w:r w:rsidRPr="00591BBA">
        <w:rPr>
          <w:rFonts w:ascii="Cambria" w:hAnsi="Cambria"/>
          <w:b/>
          <w:sz w:val="40"/>
          <w:szCs w:val="40"/>
          <w:lang w:val="id-ID"/>
        </w:rPr>
        <w:t>P</w:t>
      </w:r>
      <w:r w:rsidRPr="00591BBA">
        <w:rPr>
          <w:rFonts w:ascii="Cambria" w:hAnsi="Cambria"/>
          <w:b/>
          <w:sz w:val="40"/>
          <w:szCs w:val="40"/>
        </w:rPr>
        <w:t>ENGARUH ASET, KEBIJAKAN DIVIDEN, KEBIJAKAN UTANG, LABA TERHADAP NILAI PERUSAHAAN SEKTOR PERBANKAN</w:t>
      </w:r>
    </w:p>
    <w:p w14:paraId="5FC0EBB8" w14:textId="46105776" w:rsidR="00591BBA" w:rsidRPr="00591BBA" w:rsidRDefault="00591BBA" w:rsidP="00591BBA">
      <w:pPr>
        <w:rPr>
          <w:rFonts w:ascii="Cambria" w:hAnsi="Cambria"/>
          <w:b/>
          <w:sz w:val="40"/>
          <w:szCs w:val="40"/>
          <w:lang w:val="id-ID"/>
        </w:rPr>
      </w:pPr>
      <w:r w:rsidRPr="00591BBA">
        <w:rPr>
          <w:rFonts w:ascii="Cambria" w:hAnsi="Cambria"/>
          <w:b/>
          <w:sz w:val="40"/>
          <w:szCs w:val="40"/>
        </w:rPr>
        <w:t>PADA TAHUN 2017-2021</w:t>
      </w:r>
    </w:p>
    <w:p w14:paraId="34F0DF27" w14:textId="4B926047" w:rsidR="00A27BA3" w:rsidRPr="006F767F" w:rsidRDefault="008537E0">
      <w:pPr>
        <w:spacing w:after="60" w:line="240" w:lineRule="auto"/>
        <w:rPr>
          <w:rFonts w:ascii="Cambria" w:eastAsia="Cambria" w:hAnsi="Cambria" w:cs="Cambria"/>
          <w:sz w:val="28"/>
          <w:szCs w:val="28"/>
          <w:lang w:val="id-ID"/>
        </w:rPr>
      </w:pPr>
      <w:r>
        <w:rPr>
          <w:rFonts w:ascii="Cambria" w:eastAsia="Cambria" w:hAnsi="Cambria" w:cs="Cambria"/>
          <w:sz w:val="28"/>
          <w:szCs w:val="28"/>
          <w:vertAlign w:val="superscript"/>
        </w:rPr>
        <w:t>1</w:t>
      </w:r>
      <w:r w:rsidR="006F767F">
        <w:rPr>
          <w:rFonts w:ascii="Cambria" w:eastAsia="Cambria" w:hAnsi="Cambria" w:cs="Cambria"/>
          <w:sz w:val="28"/>
          <w:szCs w:val="28"/>
          <w:lang w:val="id-ID"/>
        </w:rPr>
        <w:t xml:space="preserve">Eric Liando, </w:t>
      </w:r>
      <w:r>
        <w:rPr>
          <w:rFonts w:ascii="Cambria" w:eastAsia="Cambria" w:hAnsi="Cambria" w:cs="Cambria"/>
          <w:sz w:val="28"/>
          <w:szCs w:val="28"/>
          <w:vertAlign w:val="superscript"/>
        </w:rPr>
        <w:t>2</w:t>
      </w:r>
      <w:r w:rsidR="006F767F">
        <w:rPr>
          <w:rFonts w:ascii="Cambria" w:eastAsia="Cambria" w:hAnsi="Cambria" w:cs="Cambria"/>
          <w:sz w:val="28"/>
          <w:szCs w:val="28"/>
          <w:lang w:val="id-ID"/>
        </w:rPr>
        <w:t xml:space="preserve">Apriansyah Ramadani, and </w:t>
      </w:r>
      <w:r w:rsidR="006F767F">
        <w:rPr>
          <w:rFonts w:ascii="Cambria" w:eastAsia="Cambria" w:hAnsi="Cambria" w:cs="Cambria"/>
          <w:sz w:val="28"/>
          <w:szCs w:val="28"/>
          <w:vertAlign w:val="superscript"/>
          <w:lang w:val="id-ID"/>
        </w:rPr>
        <w:t>3</w:t>
      </w:r>
      <w:r w:rsidR="006F767F">
        <w:rPr>
          <w:rFonts w:ascii="Cambria" w:eastAsia="Cambria" w:hAnsi="Cambria" w:cs="Cambria"/>
          <w:sz w:val="28"/>
          <w:szCs w:val="28"/>
          <w:lang w:val="id-ID"/>
        </w:rPr>
        <w:t>Isfensti Sadalia</w:t>
      </w:r>
    </w:p>
    <w:p w14:paraId="17AD9F5B" w14:textId="77777777" w:rsidR="00A27BA3" w:rsidRDefault="00A27BA3">
      <w:pPr>
        <w:spacing w:after="60" w:line="240" w:lineRule="auto"/>
        <w:rPr>
          <w:rFonts w:ascii="Cambria" w:eastAsia="Cambria" w:hAnsi="Cambria" w:cs="Cambria"/>
          <w:sz w:val="10"/>
          <w:szCs w:val="10"/>
          <w:vertAlign w:val="superscript"/>
        </w:rPr>
      </w:pPr>
    </w:p>
    <w:p w14:paraId="7AC73046" w14:textId="692A083F" w:rsidR="00A27BA3" w:rsidRPr="006F767F" w:rsidRDefault="008537E0">
      <w:pPr>
        <w:spacing w:after="0" w:line="240" w:lineRule="auto"/>
        <w:rPr>
          <w:rFonts w:ascii="Cambria" w:eastAsia="Cambria" w:hAnsi="Cambria" w:cs="Cambria"/>
          <w:lang w:val="id-ID"/>
        </w:rPr>
      </w:pPr>
      <w:r>
        <w:rPr>
          <w:rFonts w:ascii="Cambria" w:eastAsia="Cambria" w:hAnsi="Cambria" w:cs="Cambria"/>
          <w:sz w:val="28"/>
          <w:szCs w:val="28"/>
          <w:vertAlign w:val="superscript"/>
        </w:rPr>
        <w:t>1</w:t>
      </w:r>
      <w:r w:rsidR="006F767F">
        <w:rPr>
          <w:rFonts w:ascii="Cambria" w:eastAsia="Cambria" w:hAnsi="Cambria" w:cs="Cambria"/>
          <w:sz w:val="28"/>
          <w:szCs w:val="28"/>
          <w:vertAlign w:val="superscript"/>
          <w:lang w:val="id-ID"/>
        </w:rPr>
        <w:t xml:space="preserve">,2 </w:t>
      </w:r>
      <w:r>
        <w:rPr>
          <w:rFonts w:ascii="Cambria" w:eastAsia="Cambria" w:hAnsi="Cambria" w:cs="Cambria"/>
        </w:rPr>
        <w:t xml:space="preserve"> </w:t>
      </w:r>
      <w:r w:rsidR="006F767F">
        <w:rPr>
          <w:rFonts w:ascii="Cambria" w:eastAsia="Cambria" w:hAnsi="Cambria" w:cs="Cambria"/>
          <w:lang w:val="id-ID"/>
        </w:rPr>
        <w:t>Universitas Prima Indonesia</w:t>
      </w:r>
    </w:p>
    <w:p w14:paraId="4693D731" w14:textId="179FA86F" w:rsidR="00A27BA3" w:rsidRPr="006F767F" w:rsidRDefault="006F767F">
      <w:pPr>
        <w:spacing w:after="0" w:line="240" w:lineRule="auto"/>
        <w:rPr>
          <w:rFonts w:ascii="Cambria" w:eastAsia="Cambria" w:hAnsi="Cambria" w:cs="Cambria"/>
          <w:lang w:val="id-ID"/>
        </w:rPr>
      </w:pPr>
      <w:r>
        <w:rPr>
          <w:rFonts w:ascii="Cambria" w:eastAsia="Cambria" w:hAnsi="Cambria" w:cs="Cambria"/>
          <w:sz w:val="28"/>
          <w:szCs w:val="28"/>
          <w:vertAlign w:val="superscript"/>
          <w:lang w:val="id-ID"/>
        </w:rPr>
        <w:t xml:space="preserve">3, </w:t>
      </w:r>
      <w:r>
        <w:rPr>
          <w:rFonts w:ascii="Cambria" w:eastAsia="Cambria" w:hAnsi="Cambria" w:cs="Cambria"/>
          <w:lang w:val="id-ID"/>
        </w:rPr>
        <w:t>Universitas Sumatera Utara</w:t>
      </w:r>
    </w:p>
    <w:p w14:paraId="30B3484C" w14:textId="77777777" w:rsidR="00A27BA3" w:rsidRDefault="00A27BA3">
      <w:pPr>
        <w:spacing w:after="60" w:line="240" w:lineRule="auto"/>
        <w:rPr>
          <w:rFonts w:ascii="Cambria" w:eastAsia="Cambria" w:hAnsi="Cambria" w:cs="Cambria"/>
          <w:sz w:val="10"/>
          <w:szCs w:val="10"/>
        </w:rPr>
      </w:pPr>
    </w:p>
    <w:p w14:paraId="68E948C0" w14:textId="39E64CD3" w:rsidR="00A27BA3" w:rsidRPr="006F767F" w:rsidRDefault="006F767F">
      <w:pPr>
        <w:spacing w:after="60" w:line="240" w:lineRule="auto"/>
        <w:rPr>
          <w:rFonts w:ascii="Cambria" w:eastAsia="Cambria" w:hAnsi="Cambria" w:cs="Cambria"/>
          <w:lang w:val="id-ID"/>
        </w:rPr>
      </w:pPr>
      <w:r>
        <w:rPr>
          <w:rFonts w:ascii="Cambria" w:eastAsia="Cambria" w:hAnsi="Cambria" w:cs="Cambria"/>
        </w:rPr>
        <w:t>* Corresponding author:</w:t>
      </w:r>
      <w:r>
        <w:rPr>
          <w:rFonts w:ascii="Cambria" w:eastAsia="Cambria" w:hAnsi="Cambria" w:cs="Cambria"/>
          <w:lang w:val="id-ID"/>
        </w:rPr>
        <w:t xml:space="preserve"> </w:t>
      </w:r>
      <w:r>
        <w:rPr>
          <w:rFonts w:ascii="Cambria" w:eastAsia="Cambria" w:hAnsi="Cambria" w:cs="Cambria"/>
          <w:color w:val="0563C1"/>
          <w:u w:val="single"/>
          <w:lang w:val="id-ID"/>
        </w:rPr>
        <w:t>apriansyahramadani@unprimdn.ac.id</w:t>
      </w:r>
    </w:p>
    <w:p w14:paraId="5898CFFB" w14:textId="77777777" w:rsidR="00A27BA3" w:rsidRDefault="00A27BA3">
      <w:pPr>
        <w:spacing w:after="60" w:line="240" w:lineRule="auto"/>
        <w:rPr>
          <w:rFonts w:ascii="Cambria" w:eastAsia="Cambria" w:hAnsi="Cambria" w:cs="Cambria"/>
        </w:rPr>
      </w:pPr>
      <w:bookmarkStart w:id="1" w:name="_GoBack"/>
      <w:bookmarkEnd w:id="1"/>
    </w:p>
    <w:tbl>
      <w:tblPr>
        <w:tblStyle w:val="a"/>
        <w:tblW w:w="9498"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2835"/>
        <w:gridCol w:w="6663"/>
      </w:tblGrid>
      <w:tr w:rsidR="00A27BA3" w14:paraId="73EF3055" w14:textId="77777777">
        <w:tc>
          <w:tcPr>
            <w:tcW w:w="2835" w:type="dxa"/>
            <w:shd w:val="clear" w:color="auto" w:fill="EDEDED"/>
            <w:vAlign w:val="bottom"/>
          </w:tcPr>
          <w:p w14:paraId="796FAF0A" w14:textId="77777777" w:rsidR="00A27BA3" w:rsidRDefault="00A27BA3">
            <w:pPr>
              <w:spacing w:before="120" w:after="120"/>
              <w:rPr>
                <w:rFonts w:ascii="Cambria" w:eastAsia="Cambria" w:hAnsi="Cambria" w:cs="Cambria"/>
                <w:sz w:val="18"/>
                <w:szCs w:val="18"/>
              </w:rPr>
            </w:pPr>
          </w:p>
        </w:tc>
        <w:tc>
          <w:tcPr>
            <w:tcW w:w="6663" w:type="dxa"/>
          </w:tcPr>
          <w:p w14:paraId="4C9B1130" w14:textId="77777777" w:rsidR="00A27BA3" w:rsidRDefault="008537E0">
            <w:pPr>
              <w:spacing w:before="120"/>
              <w:rPr>
                <w:rFonts w:ascii="Cambria" w:eastAsia="Cambria" w:hAnsi="Cambria" w:cs="Cambria"/>
                <w:b/>
                <w:sz w:val="24"/>
                <w:szCs w:val="24"/>
              </w:rPr>
            </w:pPr>
            <w:r>
              <w:rPr>
                <w:rFonts w:ascii="Cambria" w:eastAsia="Cambria" w:hAnsi="Cambria" w:cs="Cambria"/>
                <w:b/>
                <w:sz w:val="24"/>
                <w:szCs w:val="24"/>
              </w:rPr>
              <w:t>ABSTRACT</w:t>
            </w:r>
          </w:p>
        </w:tc>
      </w:tr>
      <w:tr w:rsidR="00A27BA3" w14:paraId="09B1354D" w14:textId="77777777">
        <w:tc>
          <w:tcPr>
            <w:tcW w:w="2835" w:type="dxa"/>
            <w:shd w:val="clear" w:color="auto" w:fill="EDEDED"/>
            <w:vAlign w:val="bottom"/>
          </w:tcPr>
          <w:p w14:paraId="3A1E1B2D" w14:textId="77777777" w:rsidR="00A27BA3" w:rsidRDefault="008537E0">
            <w:pPr>
              <w:spacing w:after="240"/>
              <w:rPr>
                <w:rFonts w:ascii="Cambria" w:eastAsia="Cambria" w:hAnsi="Cambria" w:cs="Cambria"/>
                <w:b/>
              </w:rPr>
            </w:pPr>
            <w:r>
              <w:rPr>
                <w:rFonts w:ascii="Cambria" w:eastAsia="Cambria" w:hAnsi="Cambria" w:cs="Cambria"/>
                <w:b/>
              </w:rPr>
              <w:t>Article Info</w:t>
            </w:r>
          </w:p>
          <w:p w14:paraId="30054F36" w14:textId="77777777" w:rsidR="00A27BA3" w:rsidRDefault="008537E0">
            <w:pPr>
              <w:spacing w:after="60"/>
              <w:rPr>
                <w:rFonts w:ascii="Cambria" w:eastAsia="Cambria" w:hAnsi="Cambria" w:cs="Cambria"/>
                <w:b/>
                <w:sz w:val="18"/>
                <w:szCs w:val="18"/>
              </w:rPr>
            </w:pPr>
            <w:r>
              <w:rPr>
                <w:rFonts w:ascii="Cambria" w:eastAsia="Cambria" w:hAnsi="Cambria" w:cs="Cambria"/>
                <w:b/>
                <w:sz w:val="18"/>
                <w:szCs w:val="18"/>
              </w:rPr>
              <w:t>Article History</w:t>
            </w:r>
          </w:p>
          <w:p w14:paraId="56BC977E" w14:textId="77777777" w:rsidR="00A27BA3" w:rsidRDefault="008537E0">
            <w:pPr>
              <w:tabs>
                <w:tab w:val="left" w:pos="884"/>
              </w:tabs>
              <w:rPr>
                <w:rFonts w:ascii="Cambria" w:eastAsia="Cambria" w:hAnsi="Cambria" w:cs="Cambria"/>
                <w:sz w:val="18"/>
                <w:szCs w:val="18"/>
              </w:rPr>
            </w:pPr>
            <w:r>
              <w:rPr>
                <w:rFonts w:ascii="Cambria" w:eastAsia="Cambria" w:hAnsi="Cambria" w:cs="Cambria"/>
                <w:sz w:val="18"/>
                <w:szCs w:val="18"/>
              </w:rPr>
              <w:t>Received</w:t>
            </w:r>
            <w:r>
              <w:rPr>
                <w:rFonts w:ascii="Cambria" w:eastAsia="Cambria" w:hAnsi="Cambria" w:cs="Cambria"/>
                <w:sz w:val="18"/>
                <w:szCs w:val="18"/>
              </w:rPr>
              <w:tab/>
              <w:t>: January 12</w:t>
            </w:r>
            <w:r>
              <w:rPr>
                <w:rFonts w:ascii="Cambria" w:eastAsia="Cambria" w:hAnsi="Cambria" w:cs="Cambria"/>
                <w:sz w:val="18"/>
                <w:szCs w:val="18"/>
                <w:vertAlign w:val="superscript"/>
              </w:rPr>
              <w:t>th</w:t>
            </w:r>
            <w:r>
              <w:rPr>
                <w:rFonts w:ascii="Cambria" w:eastAsia="Cambria" w:hAnsi="Cambria" w:cs="Cambria"/>
                <w:sz w:val="18"/>
                <w:szCs w:val="18"/>
              </w:rPr>
              <w:t>, 2022</w:t>
            </w:r>
          </w:p>
          <w:p w14:paraId="1C0CA48D" w14:textId="77777777" w:rsidR="00A27BA3" w:rsidRDefault="008537E0">
            <w:pPr>
              <w:tabs>
                <w:tab w:val="left" w:pos="884"/>
              </w:tabs>
              <w:rPr>
                <w:rFonts w:ascii="Cambria" w:eastAsia="Cambria" w:hAnsi="Cambria" w:cs="Cambria"/>
                <w:sz w:val="18"/>
                <w:szCs w:val="18"/>
              </w:rPr>
            </w:pPr>
            <w:r>
              <w:rPr>
                <w:rFonts w:ascii="Cambria" w:eastAsia="Cambria" w:hAnsi="Cambria" w:cs="Cambria"/>
                <w:sz w:val="18"/>
                <w:szCs w:val="18"/>
              </w:rPr>
              <w:t>Revised</w:t>
            </w:r>
            <w:r>
              <w:rPr>
                <w:rFonts w:ascii="Cambria" w:eastAsia="Cambria" w:hAnsi="Cambria" w:cs="Cambria"/>
                <w:sz w:val="18"/>
                <w:szCs w:val="18"/>
              </w:rPr>
              <w:tab/>
              <w:t>: February 14</w:t>
            </w:r>
            <w:r>
              <w:rPr>
                <w:rFonts w:ascii="Cambria" w:eastAsia="Cambria" w:hAnsi="Cambria" w:cs="Cambria"/>
                <w:sz w:val="18"/>
                <w:szCs w:val="18"/>
                <w:vertAlign w:val="superscript"/>
              </w:rPr>
              <w:t>th</w:t>
            </w:r>
            <w:r>
              <w:rPr>
                <w:rFonts w:ascii="Cambria" w:eastAsia="Cambria" w:hAnsi="Cambria" w:cs="Cambria"/>
                <w:sz w:val="18"/>
                <w:szCs w:val="18"/>
              </w:rPr>
              <w:t>, 2022</w:t>
            </w:r>
          </w:p>
          <w:p w14:paraId="2C117EA7" w14:textId="77777777" w:rsidR="00A27BA3" w:rsidRDefault="008537E0">
            <w:pPr>
              <w:tabs>
                <w:tab w:val="left" w:pos="884"/>
              </w:tabs>
              <w:rPr>
                <w:rFonts w:ascii="Cambria" w:eastAsia="Cambria" w:hAnsi="Cambria" w:cs="Cambria"/>
                <w:sz w:val="18"/>
                <w:szCs w:val="18"/>
              </w:rPr>
            </w:pPr>
            <w:r>
              <w:rPr>
                <w:rFonts w:ascii="Cambria" w:eastAsia="Cambria" w:hAnsi="Cambria" w:cs="Cambria"/>
                <w:sz w:val="18"/>
                <w:szCs w:val="18"/>
              </w:rPr>
              <w:t>Accepted</w:t>
            </w:r>
            <w:r>
              <w:rPr>
                <w:rFonts w:ascii="Cambria" w:eastAsia="Cambria" w:hAnsi="Cambria" w:cs="Cambria"/>
                <w:sz w:val="18"/>
                <w:szCs w:val="18"/>
              </w:rPr>
              <w:tab/>
              <w:t>: March 3</w:t>
            </w:r>
            <w:r>
              <w:rPr>
                <w:rFonts w:ascii="Cambria" w:eastAsia="Cambria" w:hAnsi="Cambria" w:cs="Cambria"/>
                <w:sz w:val="18"/>
                <w:szCs w:val="18"/>
                <w:vertAlign w:val="superscript"/>
              </w:rPr>
              <w:t>rd</w:t>
            </w:r>
            <w:r>
              <w:rPr>
                <w:rFonts w:ascii="Cambria" w:eastAsia="Cambria" w:hAnsi="Cambria" w:cs="Cambria"/>
                <w:sz w:val="18"/>
                <w:szCs w:val="18"/>
              </w:rPr>
              <w:t>, 2022</w:t>
            </w:r>
          </w:p>
          <w:p w14:paraId="3634A6CF" w14:textId="77777777" w:rsidR="00A27BA3" w:rsidRDefault="008537E0">
            <w:pPr>
              <w:tabs>
                <w:tab w:val="left" w:pos="884"/>
              </w:tabs>
              <w:spacing w:after="60"/>
              <w:rPr>
                <w:rFonts w:ascii="Cambria" w:eastAsia="Cambria" w:hAnsi="Cambria" w:cs="Cambria"/>
                <w:sz w:val="18"/>
                <w:szCs w:val="18"/>
              </w:rPr>
            </w:pPr>
            <w:r>
              <w:rPr>
                <w:rFonts w:ascii="Cambria" w:eastAsia="Cambria" w:hAnsi="Cambria" w:cs="Cambria"/>
                <w:sz w:val="18"/>
                <w:szCs w:val="18"/>
              </w:rPr>
              <w:t>Published</w:t>
            </w:r>
            <w:r>
              <w:rPr>
                <w:rFonts w:ascii="Cambria" w:eastAsia="Cambria" w:hAnsi="Cambria" w:cs="Cambria"/>
                <w:sz w:val="18"/>
                <w:szCs w:val="18"/>
              </w:rPr>
              <w:tab/>
              <w:t>: April 2</w:t>
            </w:r>
            <w:r>
              <w:rPr>
                <w:rFonts w:ascii="Cambria" w:eastAsia="Cambria" w:hAnsi="Cambria" w:cs="Cambria"/>
                <w:sz w:val="18"/>
                <w:szCs w:val="18"/>
                <w:vertAlign w:val="superscript"/>
              </w:rPr>
              <w:t>nd</w:t>
            </w:r>
            <w:r>
              <w:rPr>
                <w:rFonts w:ascii="Cambria" w:eastAsia="Cambria" w:hAnsi="Cambria" w:cs="Cambria"/>
                <w:sz w:val="18"/>
                <w:szCs w:val="18"/>
              </w:rPr>
              <w:t>, 2022</w:t>
            </w:r>
          </w:p>
          <w:p w14:paraId="1CF01A62" w14:textId="77777777" w:rsidR="00A27BA3" w:rsidRDefault="00A27BA3">
            <w:pPr>
              <w:spacing w:after="60"/>
              <w:rPr>
                <w:rFonts w:ascii="Cambria" w:eastAsia="Cambria" w:hAnsi="Cambria" w:cs="Cambria"/>
                <w:sz w:val="6"/>
                <w:szCs w:val="6"/>
              </w:rPr>
            </w:pPr>
          </w:p>
          <w:p w14:paraId="4230EA82" w14:textId="77777777" w:rsidR="00A27BA3" w:rsidRDefault="008537E0">
            <w:pPr>
              <w:spacing w:after="60"/>
              <w:rPr>
                <w:rFonts w:ascii="Cambria" w:eastAsia="Cambria" w:hAnsi="Cambria" w:cs="Cambria"/>
                <w:b/>
                <w:sz w:val="18"/>
                <w:szCs w:val="18"/>
              </w:rPr>
            </w:pPr>
            <w:r>
              <w:rPr>
                <w:rFonts w:ascii="Cambria" w:eastAsia="Cambria" w:hAnsi="Cambria" w:cs="Cambria"/>
                <w:b/>
                <w:sz w:val="18"/>
                <w:szCs w:val="18"/>
              </w:rPr>
              <w:t>Article DOI:</w:t>
            </w:r>
          </w:p>
          <w:p w14:paraId="69A14CF3" w14:textId="77777777" w:rsidR="00A27BA3" w:rsidRDefault="008537E0">
            <w:pPr>
              <w:spacing w:after="60"/>
              <w:rPr>
                <w:rFonts w:ascii="Cambria" w:eastAsia="Cambria" w:hAnsi="Cambria" w:cs="Cambria"/>
                <w:sz w:val="18"/>
                <w:szCs w:val="18"/>
              </w:rPr>
            </w:pPr>
            <w:hyperlink r:id="rId10">
              <w:r>
                <w:rPr>
                  <w:rFonts w:ascii="Cambria" w:eastAsia="Cambria" w:hAnsi="Cambria" w:cs="Cambria"/>
                  <w:color w:val="0563C1"/>
                  <w:sz w:val="18"/>
                  <w:szCs w:val="18"/>
                  <w:u w:val="single"/>
                </w:rPr>
                <w:t>10.14421/EkBis.2022.6.1.1555</w:t>
              </w:r>
            </w:hyperlink>
          </w:p>
          <w:p w14:paraId="6C11EA4E" w14:textId="77777777" w:rsidR="00A27BA3" w:rsidRDefault="00A27BA3">
            <w:pPr>
              <w:spacing w:after="60"/>
              <w:rPr>
                <w:rFonts w:ascii="Cambria" w:eastAsia="Cambria" w:hAnsi="Cambria" w:cs="Cambria"/>
                <w:sz w:val="6"/>
                <w:szCs w:val="6"/>
              </w:rPr>
            </w:pPr>
          </w:p>
          <w:p w14:paraId="06569EFC" w14:textId="77777777" w:rsidR="00A27BA3" w:rsidRDefault="008537E0">
            <w:pPr>
              <w:spacing w:after="60"/>
              <w:rPr>
                <w:rFonts w:ascii="Cambria" w:eastAsia="Cambria" w:hAnsi="Cambria" w:cs="Cambria"/>
                <w:sz w:val="18"/>
                <w:szCs w:val="18"/>
              </w:rPr>
            </w:pPr>
            <w:r>
              <w:rPr>
                <w:rFonts w:ascii="Cambria" w:eastAsia="Cambria" w:hAnsi="Cambria" w:cs="Cambria"/>
                <w:sz w:val="18"/>
                <w:szCs w:val="18"/>
              </w:rPr>
              <w:t>Copyright © 2022 by the author</w:t>
            </w:r>
          </w:p>
          <w:p w14:paraId="441DEBB5" w14:textId="77777777" w:rsidR="00A27BA3" w:rsidRDefault="00A27BA3">
            <w:pPr>
              <w:spacing w:after="60"/>
              <w:rPr>
                <w:rFonts w:ascii="Cambria" w:eastAsia="Cambria" w:hAnsi="Cambria" w:cs="Cambria"/>
                <w:sz w:val="4"/>
                <w:szCs w:val="4"/>
              </w:rPr>
            </w:pPr>
          </w:p>
          <w:p w14:paraId="4AE86781" w14:textId="77777777" w:rsidR="00A27BA3" w:rsidRDefault="008537E0">
            <w:pPr>
              <w:spacing w:after="120"/>
              <w:rPr>
                <w:rFonts w:ascii="Cambria" w:eastAsia="Cambria" w:hAnsi="Cambria" w:cs="Cambria"/>
                <w:b/>
                <w:sz w:val="18"/>
                <w:szCs w:val="18"/>
              </w:rPr>
            </w:pPr>
            <w:r>
              <w:rPr>
                <w:noProof/>
                <w:lang w:val="id-ID" w:eastAsia="id-ID"/>
              </w:rPr>
              <w:drawing>
                <wp:inline distT="0" distB="0" distL="0" distR="0" wp14:anchorId="4EBC526C" wp14:editId="29B2DFD0">
                  <wp:extent cx="838200" cy="297815"/>
                  <wp:effectExtent l="0" t="0" r="0" b="0"/>
                  <wp:docPr id="39" name="image4.png" descr="Creative Commons License"/>
                  <wp:cNvGraphicFramePr/>
                  <a:graphic xmlns:a="http://schemas.openxmlformats.org/drawingml/2006/main">
                    <a:graphicData uri="http://schemas.openxmlformats.org/drawingml/2006/picture">
                      <pic:pic xmlns:pic="http://schemas.openxmlformats.org/drawingml/2006/picture">
                        <pic:nvPicPr>
                          <pic:cNvPr id="0" name="image4.png" descr="Creative Commons License"/>
                          <pic:cNvPicPr preferRelativeResize="0"/>
                        </pic:nvPicPr>
                        <pic:blipFill>
                          <a:blip r:embed="rId11"/>
                          <a:srcRect/>
                          <a:stretch>
                            <a:fillRect/>
                          </a:stretch>
                        </pic:blipFill>
                        <pic:spPr>
                          <a:xfrm>
                            <a:off x="0" y="0"/>
                            <a:ext cx="838200" cy="297815"/>
                          </a:xfrm>
                          <a:prstGeom prst="rect">
                            <a:avLst/>
                          </a:prstGeom>
                          <a:ln/>
                        </pic:spPr>
                      </pic:pic>
                    </a:graphicData>
                  </a:graphic>
                </wp:inline>
              </w:drawing>
            </w:r>
          </w:p>
        </w:tc>
        <w:tc>
          <w:tcPr>
            <w:tcW w:w="6663" w:type="dxa"/>
          </w:tcPr>
          <w:p w14:paraId="0CAEBBA8" w14:textId="531E1983" w:rsidR="008537E0" w:rsidRDefault="006F767F" w:rsidP="008537E0">
            <w:pPr>
              <w:pStyle w:val="BodyText"/>
              <w:spacing w:line="254" w:lineRule="auto"/>
              <w:jc w:val="both"/>
            </w:pPr>
            <w:r>
              <w:t>P</w:t>
            </w:r>
            <w:r w:rsidR="008537E0">
              <w:t>enelitian ini bertujuan untuk menganalisis pengaruh aset, kebijakan dividen, kebijakan utang, dan laba terhadap nilai perusahaan sektor perbankan di Bursa Efek Indonesia selama periode 2017-2021. Metode penelitian yang digunakan adalah analisis regresi panel untuk mengevaluasi dampak variabel independen terhadap variabel dependen. Variabel dependen dalam penelitan ini adalah Nilai Perusahaan (PBV). Data yang digunakan berasal dari laporan keuangan perusahaan perbankan yang terdaftar di Bursa Efek Indonesia periode 2017-2021 dengan total populasi 43 perusahaan dan yang memenuhi kriteria sampel sebanyak 10 perusahaan. Hasil analisis regresi panel menunjukkan bahwa aset dan laba berpengaruh signifikan terhadap nilai perusahaan, sementara variabel kebijakan dividen dan kebijakan utang tidak berpengaruh terhadap nilai perusahaan. Temuan penelitian ini dapat menjadi landasan bagi manajemen perusahaan perbankan dalam mengambil keputusan strategis untuk meningkatkan nilai perusahaan.Penelitian ini relevan karena sektor perbankan memiliki peran krusial dalam perekonomian dan stabilitas keuangan. Melalui pemahaman lebih lanjut tentang faktor- faktor yang mempengaruhi nilai perusahaan perbankan, diharapkan dapat membantu regulator, investor, dan pemangku kepentingan lainnya dalam mengambil keputusan yang lebih baik terkait investasi dan pengembangan sektor perbankan.</w:t>
            </w:r>
          </w:p>
          <w:p w14:paraId="70FA1949" w14:textId="77777777" w:rsidR="006F767F" w:rsidRPr="006F767F" w:rsidRDefault="008537E0" w:rsidP="006F767F">
            <w:pPr>
              <w:rPr>
                <w:rFonts w:ascii="Cambria" w:hAnsi="Cambria"/>
                <w:lang w:val="id-ID"/>
              </w:rPr>
            </w:pPr>
            <w:r w:rsidRPr="006F767F">
              <w:rPr>
                <w:rFonts w:ascii="Cambria" w:hAnsi="Cambria"/>
              </w:rPr>
              <w:t>Kata Kunci : Aset, Kebijakan Dividen, Kebijakan Utang,Laba, Nilai Perusahaan</w:t>
            </w:r>
          </w:p>
          <w:p w14:paraId="07880EEC" w14:textId="45A8F862" w:rsidR="00A27BA3" w:rsidRPr="006F767F" w:rsidRDefault="008537E0" w:rsidP="006F767F">
            <w:r>
              <w:rPr>
                <w:rFonts w:ascii="Cambria" w:eastAsia="Cambria" w:hAnsi="Cambria" w:cs="Cambria"/>
                <w:b/>
              </w:rPr>
              <w:t xml:space="preserve">JEL Classification: </w:t>
            </w:r>
            <w:r>
              <w:rPr>
                <w:rFonts w:ascii="Cambria" w:eastAsia="Cambria" w:hAnsi="Cambria" w:cs="Cambria"/>
              </w:rPr>
              <w:t>A15, B12, V6 (3 JEL Class)</w:t>
            </w:r>
          </w:p>
        </w:tc>
      </w:tr>
    </w:tbl>
    <w:p w14:paraId="06DEF7B9" w14:textId="6A03607A" w:rsidR="00A27BA3" w:rsidRPr="006F767F" w:rsidRDefault="006F767F">
      <w:pPr>
        <w:spacing w:after="60" w:line="276" w:lineRule="auto"/>
        <w:rPr>
          <w:rFonts w:ascii="Cambria" w:eastAsia="Cambria" w:hAnsi="Cambria" w:cs="Cambria"/>
          <w:b/>
          <w:sz w:val="24"/>
          <w:szCs w:val="24"/>
          <w:lang w:val="id-ID"/>
        </w:rPr>
      </w:pPr>
      <w:r>
        <w:rPr>
          <w:rFonts w:ascii="Cambria" w:eastAsia="Cambria" w:hAnsi="Cambria" w:cs="Cambria"/>
          <w:b/>
          <w:sz w:val="24"/>
          <w:szCs w:val="24"/>
          <w:lang w:val="id-ID"/>
        </w:rPr>
        <w:lastRenderedPageBreak/>
        <w:t>Pendahuluan</w:t>
      </w:r>
    </w:p>
    <w:p w14:paraId="1F62C30A" w14:textId="6DD0FC5B" w:rsidR="008537E0" w:rsidRPr="008537E0" w:rsidRDefault="008537E0" w:rsidP="008537E0">
      <w:pPr>
        <w:pStyle w:val="BodyText"/>
        <w:spacing w:before="0" w:beforeAutospacing="0" w:after="0" w:afterAutospacing="0" w:line="276" w:lineRule="auto"/>
        <w:ind w:firstLine="720"/>
        <w:jc w:val="both"/>
        <w:rPr>
          <w:rFonts w:ascii="Cambria" w:hAnsi="Cambria"/>
        </w:rPr>
      </w:pPr>
      <w:r w:rsidRPr="008537E0">
        <w:rPr>
          <w:rFonts w:ascii="Cambria" w:hAnsi="Cambria"/>
        </w:rPr>
        <w:t>Nilai pasar sama dengan nilai perusahaan. Nilai pasar digunakan karena, jika harga saham perusahaan naik, hal ini dapat memaksimalkan kemakmuran pemiliknya. Karena pemegang saham akan mendapatkan lebih banyak ketika harga saham naik. Nilai perusahaan sangat penting untuk bisnis karena menunjukkan kekayaan pemilik, yang mendapat manfaat dari nilai perusahaan yang lebih besar. Pendirian sebuah perusahaan pasti dipandu oleh tujuan tertentu, seperti menghasilkan keuntungan semaksimal mungkin, memungkinkan pemilik atau pemegang saham mendapatkan keuntungan, dan meningkatkan nilai perusahaan yang diukur dengan harga saham. Ketiga tujuan perusahaan tersebut sebenarnya tidak jauh berbeda satu sama lain. Nilai perusahaan, menurut Wiyono dan Kusuma (2017:74), adalah jumlah yang bersedia dibayar oleh calon pembeli untuk membeli bisnis tersebut. Salah satu indikator kondisi perusahaan adalah nilai perusahaan. Perusahaan yang menarik bagi calon investor akan menarik lebih banyak darimereka dalam upaya untuk mendapatkan pengembalian yang diantisipasi atas investasi mereka..</w:t>
      </w:r>
    </w:p>
    <w:p w14:paraId="2AE111AE" w14:textId="77777777" w:rsidR="008537E0" w:rsidRPr="008537E0" w:rsidRDefault="008537E0" w:rsidP="008537E0">
      <w:pPr>
        <w:pStyle w:val="BodyText"/>
        <w:spacing w:before="0" w:beforeAutospacing="0" w:after="0" w:afterAutospacing="0" w:line="276" w:lineRule="auto"/>
        <w:ind w:firstLine="720"/>
        <w:jc w:val="both"/>
        <w:rPr>
          <w:rFonts w:ascii="Cambria" w:hAnsi="Cambria"/>
        </w:rPr>
      </w:pPr>
      <w:r w:rsidRPr="008537E0">
        <w:rPr>
          <w:rFonts w:ascii="Cambria" w:hAnsi="Cambria"/>
        </w:rPr>
        <w:t>Harga saham yang meningkat mengindikasikan tingkat pengembalian yang lebih tinggi bagi investor, yang pada gilirannya menunjukkan peningkatan nilai perusahaan. Price-to-book value adalah rasio harga saham terhadap nilai buku ekuitas perusahaan, yang mengukur penilaian pasar terhadap organisasi dan manajemennya sebagai perusahaan yang sedang berkembang (Hery, 2020). Calon investor dapat menentukan apakah harga suatu saham wajar secara riil berdasarkan kondisi saat ini daripada perkiraan di masa depan dengan memperoleh nilai PBV. Rasio PBV yang tinggi menunjukkan bahwa perusahaan mampu menghasilkan jumlah nilai yang lebih besar dibandingkan dengan jumlah modal yang diinvestasikan, sehingga meningkatkan nilai perusahaan bagi para pemegang saham (Ang, 1997 dalam Nathaniel, 2008).</w:t>
      </w:r>
    </w:p>
    <w:p w14:paraId="176FF8C9" w14:textId="77777777" w:rsidR="008537E0" w:rsidRPr="008537E0" w:rsidRDefault="008537E0" w:rsidP="008537E0">
      <w:pPr>
        <w:pStyle w:val="BodyText"/>
        <w:spacing w:before="0" w:beforeAutospacing="0" w:after="0" w:afterAutospacing="0" w:line="276" w:lineRule="auto"/>
        <w:ind w:firstLine="720"/>
        <w:jc w:val="both"/>
        <w:rPr>
          <w:rFonts w:ascii="Cambria" w:hAnsi="Cambria"/>
        </w:rPr>
      </w:pPr>
      <w:r w:rsidRPr="008537E0">
        <w:rPr>
          <w:rFonts w:ascii="Cambria" w:hAnsi="Cambria"/>
        </w:rPr>
        <w:t>Kebijakan dividen perusahaan menunjukkan keputusan perusahaan untuk mendistribusikan laba kepada pemegang saham atau menahannya untuk diinvestasikan kembali. Pertumbuhan perusahaan dapat diperlambat dengan jumlah dividen yang tinggi, yang dapat mengakibatkan berkurangnya laba ditahan, dan hal yang sebaliknya juga dapat terjadi (Septariani, 2017). Rasio pembayaran dividen, yang merupakan proporsi pendapatan atau laba yang didistribusikan kepada pemegang saham, merupakan metrik yang relevan untuk menilai kebijakan dividen. Menurut Gumanti (2013:63), peningkatan dividen merupakan indikasi optimisme manajer terhadap pertumbuhan laba, mengirimkan pesan positif kepada investor, dan berpotensi mengangkat harga saham dan nilai perusahaan. Semakin besar dividen, maka akan semakin menarik bagi pemegang saham, menurut Bird in the Hand Theory. Hal ini disebabkan karena investor lebih memprioritaskan dividen daripada capital gain. Investor akan mengalami keuntungan yang lebih besar sebagai pemegang saham ketika Dividend Payout Ratio meningkat.</w:t>
      </w:r>
    </w:p>
    <w:p w14:paraId="3DA7EFD1" w14:textId="77777777" w:rsidR="008537E0" w:rsidRDefault="008537E0" w:rsidP="008537E0">
      <w:pPr>
        <w:spacing w:after="0" w:line="276" w:lineRule="auto"/>
        <w:rPr>
          <w:rFonts w:ascii="Cambria" w:hAnsi="Cambria"/>
          <w:lang w:val="id-ID"/>
        </w:rPr>
      </w:pPr>
    </w:p>
    <w:p w14:paraId="71EAC6B6" w14:textId="77777777" w:rsidR="00AA0BD1" w:rsidRDefault="00AA0BD1" w:rsidP="006F767F">
      <w:pPr>
        <w:pStyle w:val="BodyText"/>
        <w:spacing w:before="0" w:beforeAutospacing="0" w:after="0" w:afterAutospacing="0" w:line="360" w:lineRule="auto"/>
        <w:ind w:firstLine="720"/>
        <w:jc w:val="both"/>
      </w:pPr>
    </w:p>
    <w:p w14:paraId="4D078639" w14:textId="77777777" w:rsidR="00591BBA" w:rsidRPr="008537E0" w:rsidRDefault="00591BBA" w:rsidP="006F767F">
      <w:pPr>
        <w:pStyle w:val="BodyText"/>
        <w:spacing w:before="0" w:beforeAutospacing="0" w:after="0" w:afterAutospacing="0" w:line="360" w:lineRule="auto"/>
        <w:ind w:firstLine="720"/>
        <w:jc w:val="both"/>
        <w:rPr>
          <w:rFonts w:ascii="Cambria" w:hAnsi="Cambria"/>
        </w:rPr>
      </w:pPr>
      <w:r>
        <w:lastRenderedPageBreak/>
        <w:t xml:space="preserve">Kebijakan hutang merupakan kebijakan perusahaan yang mengatur pemanfaatan hutang keuangan atau leverage untuk menopang operasional perusahaan. Kebijakan hutang dilakukan melalui pendanaan eksternal yang merupakan kewajiban perusahaan kepada para kreditur. Hal ini berpengaruh pada debt equity ratio (DER), yaitu rasio total utang jangka panjang terhadap ekuitas. Perusahaan dengan kebijakan utang yang tinggi dianggap memiliki nilai perusahaan yang lebih tinggi, namun juga memiliki risiko yang besar. Dalam rangka mengoptimalkan nilai perusahaan dan harga saham, struktur modal yang optimal harus menyeimbangkan antara risiko dan tingkat pengembalian yang diharapkan (Brigham dan Houston, 2001). Profitabilitas </w:t>
      </w:r>
      <w:r w:rsidRPr="008537E0">
        <w:rPr>
          <w:rFonts w:ascii="Cambria" w:hAnsi="Cambria"/>
        </w:rPr>
        <w:t>perusahaan berbanding lurus dengan rasio. Hal ini menghasilkan peningkatan harga saham.</w:t>
      </w:r>
    </w:p>
    <w:p w14:paraId="34B5097B" w14:textId="77777777" w:rsidR="00591BBA" w:rsidRPr="008537E0" w:rsidRDefault="00591BBA" w:rsidP="00591BBA">
      <w:pPr>
        <w:pStyle w:val="BodyText"/>
        <w:spacing w:before="0" w:beforeAutospacing="0" w:after="0" w:afterAutospacing="0" w:line="276" w:lineRule="auto"/>
        <w:ind w:firstLine="720"/>
        <w:jc w:val="both"/>
        <w:rPr>
          <w:rFonts w:ascii="Cambria" w:hAnsi="Cambria"/>
        </w:rPr>
      </w:pPr>
      <w:r w:rsidRPr="008537E0">
        <w:rPr>
          <w:rFonts w:ascii="Cambria" w:hAnsi="Cambria"/>
        </w:rPr>
        <w:t>Nilai perusahaan dapat secara signifikan dipengaruhi secara positif oleh kualitas laba, sesuai dengan Rahayu &amp; Sari (2018). Penelitian ini didukung oleh temuan Apridasari dkk. (2018), yang menyatakan bahwa kualitas laba dapat memiliki dampak positif yang substansial terhadap nilai perusahaan. Selain itu, Purnamasari dkk. (2016) melakukan penelitian yang memberikan hasil yang terbatas, yang menyatakan bahwa kualitas laba dapat memiliki dampak positif yang substansial terhadap nilai perusahaan. Kekayaan pemegang saham dapat terpengaruh oleh penurunan nilai perusahaan.</w:t>
      </w:r>
    </w:p>
    <w:p w14:paraId="2039862F" w14:textId="67108EB9" w:rsidR="00591BBA" w:rsidRDefault="00591BBA" w:rsidP="00591BBA">
      <w:pPr>
        <w:spacing w:after="0" w:line="276" w:lineRule="auto"/>
        <w:ind w:firstLine="720"/>
        <w:jc w:val="both"/>
        <w:rPr>
          <w:rFonts w:ascii="Cambria" w:hAnsi="Cambria"/>
          <w:sz w:val="24"/>
          <w:szCs w:val="24"/>
          <w:lang w:val="id-ID"/>
        </w:rPr>
      </w:pPr>
      <w:r w:rsidRPr="008537E0">
        <w:rPr>
          <w:rFonts w:ascii="Cambria" w:hAnsi="Cambria"/>
          <w:sz w:val="24"/>
          <w:szCs w:val="24"/>
        </w:rPr>
        <w:t>Pemilihan perusahaan perbankan sebagai fokus penelitian dilatarbelakangi oleh karakteristik uniknya, yaitu menghimpun dana dari masyarakat dalam bentuk simpanan dan menyalurkannya kembali dalam bentuk kredit. Sebagai salah satu sektor vital dalam perekonomian, sektor perbankan diharapkan memiliki prospek cerah di masa mendatang. Dengan kontribusinya yang signifikan terhadap pendapatan negara, perusahaan perbankan seringkali menjadi subjek penelitian yang relevan. Keputusan banyak bank untuk melakukan go-public juga membuka peluang untuk melihat dengan jelas posisi keuangan dan kinerja bank, yang tercermin dalam kenaikan harga saham dan harapan positif investor pada pertumbuhan ekonomi Indonesia</w:t>
      </w:r>
      <w:r w:rsidR="006F767F">
        <w:rPr>
          <w:rFonts w:ascii="Cambria" w:hAnsi="Cambria"/>
          <w:sz w:val="24"/>
          <w:szCs w:val="24"/>
          <w:lang w:val="id-ID"/>
        </w:rPr>
        <w:t>.</w:t>
      </w:r>
    </w:p>
    <w:p w14:paraId="66653399" w14:textId="77777777" w:rsidR="006F767F" w:rsidRDefault="006F767F" w:rsidP="00591BBA">
      <w:pPr>
        <w:spacing w:after="0" w:line="276" w:lineRule="auto"/>
        <w:ind w:firstLine="720"/>
        <w:jc w:val="both"/>
        <w:rPr>
          <w:rFonts w:ascii="Cambria" w:hAnsi="Cambria"/>
          <w:noProof/>
          <w:lang w:val="id-ID" w:eastAsia="id-ID"/>
        </w:rPr>
      </w:pPr>
    </w:p>
    <w:p w14:paraId="074E6F4D" w14:textId="0140406E" w:rsidR="006F767F" w:rsidRPr="006F767F" w:rsidRDefault="006F767F" w:rsidP="006F767F">
      <w:pPr>
        <w:spacing w:after="0" w:line="276" w:lineRule="auto"/>
        <w:ind w:firstLine="720"/>
        <w:jc w:val="center"/>
        <w:rPr>
          <w:rFonts w:ascii="Cambria" w:hAnsi="Cambria"/>
          <w:sz w:val="24"/>
          <w:szCs w:val="24"/>
          <w:lang w:val="id-ID"/>
        </w:rPr>
      </w:pPr>
      <w:r w:rsidRPr="008537E0">
        <w:rPr>
          <w:rFonts w:ascii="Cambria" w:hAnsi="Cambria"/>
          <w:noProof/>
          <w:lang w:val="id-ID" w:eastAsia="id-ID"/>
        </w:rPr>
        <w:drawing>
          <wp:inline distT="0" distB="0" distL="0" distR="0" wp14:anchorId="18F45AAF" wp14:editId="0A9DE181">
            <wp:extent cx="3894269" cy="1487308"/>
            <wp:effectExtent l="0" t="0" r="0" b="0"/>
            <wp:docPr id="1" name="Picture 1" descr="C:\Users\LE\AppData\Local\Temp\ksohtml3504\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AppData\Local\Temp\ksohtml3504\wps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33749" cy="1502386"/>
                    </a:xfrm>
                    <a:prstGeom prst="rect">
                      <a:avLst/>
                    </a:prstGeom>
                    <a:noFill/>
                    <a:ln>
                      <a:noFill/>
                    </a:ln>
                  </pic:spPr>
                </pic:pic>
              </a:graphicData>
            </a:graphic>
          </wp:inline>
        </w:drawing>
      </w:r>
    </w:p>
    <w:p w14:paraId="59D149C2" w14:textId="73C42ED4" w:rsidR="00591BBA" w:rsidRPr="00AA0BD1" w:rsidRDefault="006F767F" w:rsidP="006F767F">
      <w:pPr>
        <w:pStyle w:val="BodyText"/>
        <w:spacing w:line="360" w:lineRule="auto"/>
        <w:jc w:val="center"/>
        <w:rPr>
          <w:rFonts w:ascii="Cambria" w:hAnsi="Cambria"/>
          <w:sz w:val="22"/>
          <w:szCs w:val="22"/>
        </w:rPr>
        <w:sectPr w:rsidR="00591BBA" w:rsidRPr="00AA0BD1">
          <w:pgSz w:w="12240" w:h="15840"/>
          <w:pgMar w:top="1440" w:right="1440" w:bottom="1440" w:left="1440" w:header="720" w:footer="720" w:gutter="0"/>
          <w:cols w:space="720"/>
        </w:sectPr>
      </w:pPr>
      <w:r w:rsidRPr="00AA0BD1">
        <w:rPr>
          <w:rFonts w:ascii="Cambria" w:hAnsi="Cambria"/>
          <w:b/>
          <w:sz w:val="22"/>
          <w:szCs w:val="22"/>
        </w:rPr>
        <w:t xml:space="preserve">Gambar 1.1 </w:t>
      </w:r>
      <w:r w:rsidRPr="00AA0BD1">
        <w:rPr>
          <w:rFonts w:ascii="Cambria" w:hAnsi="Cambria"/>
          <w:sz w:val="22"/>
          <w:szCs w:val="22"/>
        </w:rPr>
        <w:t>Grafik Fenomena Aset, Kebijakan Deviden, Kebijakan Utang ,Laba terhadap Nilai Perusahaan Bank Mandiri Tahun 2017-2021</w:t>
      </w:r>
    </w:p>
    <w:p w14:paraId="56AAF3E4" w14:textId="77777777" w:rsidR="008537E0" w:rsidRPr="008537E0" w:rsidRDefault="008537E0" w:rsidP="006F767F">
      <w:pPr>
        <w:pStyle w:val="BodyText"/>
        <w:spacing w:before="0" w:beforeAutospacing="0" w:after="0" w:afterAutospacing="0" w:line="360" w:lineRule="auto"/>
        <w:ind w:firstLine="720"/>
        <w:jc w:val="both"/>
        <w:rPr>
          <w:rFonts w:ascii="Cambria" w:hAnsi="Cambria"/>
        </w:rPr>
      </w:pPr>
      <w:r w:rsidRPr="008537E0">
        <w:rPr>
          <w:rFonts w:ascii="Cambria" w:hAnsi="Cambria"/>
        </w:rPr>
        <w:lastRenderedPageBreak/>
        <w:t>Berdasarkan grafik diatas bahwa terjadinya peningkatan pada aset PT Bank Mandiri, Tbk dari tahun 2017 hingga 2021.Ini mencermikan pertumbuhan operasional,ekspansi bisnis atau peningkatan nilai investasi pada PT Bank Mandiri,Tbk. Untuk Kebijakan dividen Bank Mandiri mengalami fluktuasi yaitu terjadi peningkatan yang signifikan pada tahun 2020, yang kemungkinan besar merupakan hasil dari kebijakan distribusi laba yang lebih agresif atau kondisi ekonomi tertentu. Untuk Kebijakan utang Bank Mandiri juga mengalami peningkatan dari tahun 2017 hingga 2021. Peningkatan ini mungkin mencerminkan strategi pembiayaan atau pendanaan proyek-proyek investasi. Untuk Laba kotor Bank Mandiri mengalami fluktuasi, dengan peningkatan yang signifikan pada tahun 2021. Ini dapat disebabkan oleh efisiensi operasional, pengelolaan biaya yang baik, atau keuntungan dari investasi yang menguntungkan.</w:t>
      </w:r>
    </w:p>
    <w:p w14:paraId="60B60F08" w14:textId="3BD7950A" w:rsidR="008537E0" w:rsidRDefault="008537E0" w:rsidP="006F767F">
      <w:pPr>
        <w:pStyle w:val="BodyText"/>
        <w:spacing w:before="0" w:beforeAutospacing="0" w:after="0" w:afterAutospacing="0" w:line="360" w:lineRule="auto"/>
        <w:ind w:firstLine="720"/>
        <w:jc w:val="both"/>
        <w:rPr>
          <w:rFonts w:ascii="Cambria" w:hAnsi="Cambria"/>
        </w:rPr>
      </w:pPr>
      <w:r w:rsidRPr="008537E0">
        <w:rPr>
          <w:rFonts w:ascii="Cambria" w:hAnsi="Cambria"/>
        </w:rPr>
        <w:t>Berdasarkan latar belakang dan gambaran data fenomena tersebut maka peneliti tertarik untuk melakukan penelitian yang berjudul,“PENGARUH ASET, KEBIJAKAN DEVIDEN, KEBIJAKAN UTANG, LABA TERHADAP NILAI PERUSAHAAN SEKTOR</w:t>
      </w:r>
      <w:r w:rsidR="006F767F">
        <w:rPr>
          <w:rFonts w:ascii="Cambria" w:hAnsi="Cambria"/>
        </w:rPr>
        <w:t xml:space="preserve"> PERBANKAN PERIODE 2017 – 2021”.</w:t>
      </w:r>
    </w:p>
    <w:p w14:paraId="4C24D3A1" w14:textId="77777777" w:rsidR="006F767F" w:rsidRPr="006F767F" w:rsidRDefault="006F767F" w:rsidP="006F767F">
      <w:pPr>
        <w:pStyle w:val="BodyText"/>
        <w:spacing w:before="0" w:beforeAutospacing="0" w:after="0" w:afterAutospacing="0" w:line="360" w:lineRule="auto"/>
        <w:ind w:firstLine="720"/>
        <w:jc w:val="both"/>
        <w:rPr>
          <w:rFonts w:ascii="Cambria" w:hAnsi="Cambria"/>
        </w:rPr>
      </w:pPr>
    </w:p>
    <w:p w14:paraId="5070D3A6" w14:textId="77777777" w:rsidR="008537E0" w:rsidRPr="008537E0" w:rsidRDefault="008537E0" w:rsidP="008537E0">
      <w:pPr>
        <w:spacing w:after="0"/>
        <w:jc w:val="both"/>
        <w:rPr>
          <w:rFonts w:ascii="Cambria" w:hAnsi="Cambria"/>
          <w:b/>
          <w:sz w:val="24"/>
          <w:szCs w:val="24"/>
        </w:rPr>
      </w:pPr>
      <w:r w:rsidRPr="008537E0">
        <w:rPr>
          <w:rFonts w:ascii="Cambria" w:hAnsi="Cambria"/>
          <w:b/>
          <w:sz w:val="24"/>
          <w:szCs w:val="24"/>
        </w:rPr>
        <w:t>Rumusan Masalah</w:t>
      </w:r>
    </w:p>
    <w:p w14:paraId="13745A54" w14:textId="77777777" w:rsidR="008537E0" w:rsidRPr="008537E0" w:rsidRDefault="008537E0" w:rsidP="008537E0">
      <w:pPr>
        <w:pStyle w:val="BodyText"/>
        <w:spacing w:before="0" w:beforeAutospacing="0" w:after="0" w:afterAutospacing="0"/>
        <w:jc w:val="both"/>
        <w:rPr>
          <w:rFonts w:ascii="Cambria" w:hAnsi="Cambria"/>
        </w:rPr>
      </w:pPr>
      <w:r w:rsidRPr="008537E0">
        <w:rPr>
          <w:rFonts w:ascii="Cambria" w:hAnsi="Cambria"/>
        </w:rPr>
        <w:t>Berdasarkan masalah dalam kajian ini dapat dirumuskan menjadi :</w:t>
      </w:r>
    </w:p>
    <w:p w14:paraId="71BA05E1" w14:textId="77777777" w:rsidR="008537E0" w:rsidRPr="008537E0" w:rsidRDefault="008537E0" w:rsidP="008537E0">
      <w:pPr>
        <w:pStyle w:val="ListParagraph"/>
        <w:widowControl w:val="0"/>
        <w:numPr>
          <w:ilvl w:val="0"/>
          <w:numId w:val="5"/>
        </w:numPr>
        <w:autoSpaceDE w:val="0"/>
        <w:autoSpaceDN w:val="0"/>
        <w:spacing w:after="0" w:line="360" w:lineRule="auto"/>
        <w:contextualSpacing w:val="0"/>
        <w:jc w:val="both"/>
        <w:rPr>
          <w:rFonts w:ascii="Cambria" w:hAnsi="Cambria"/>
          <w:sz w:val="24"/>
          <w:szCs w:val="24"/>
        </w:rPr>
      </w:pPr>
      <w:r w:rsidRPr="008537E0">
        <w:rPr>
          <w:rFonts w:ascii="Cambria" w:hAnsi="Cambria"/>
          <w:sz w:val="24"/>
          <w:szCs w:val="24"/>
        </w:rPr>
        <w:t>Bagaimana pengaruh aset terhadap nilai perusahaan pada perusahaan sektor perbankan yang terdaftar di Bursa Efek Indonesia periode 2017-2021?</w:t>
      </w:r>
    </w:p>
    <w:p w14:paraId="08807FE1" w14:textId="77777777" w:rsidR="008537E0" w:rsidRPr="008537E0" w:rsidRDefault="008537E0" w:rsidP="008537E0">
      <w:pPr>
        <w:pStyle w:val="ListParagraph"/>
        <w:widowControl w:val="0"/>
        <w:numPr>
          <w:ilvl w:val="0"/>
          <w:numId w:val="5"/>
        </w:numPr>
        <w:autoSpaceDE w:val="0"/>
        <w:autoSpaceDN w:val="0"/>
        <w:spacing w:after="0" w:line="360" w:lineRule="auto"/>
        <w:contextualSpacing w:val="0"/>
        <w:jc w:val="both"/>
        <w:rPr>
          <w:rFonts w:ascii="Cambria" w:hAnsi="Cambria"/>
          <w:sz w:val="24"/>
          <w:szCs w:val="24"/>
        </w:rPr>
      </w:pPr>
      <w:r w:rsidRPr="008537E0">
        <w:rPr>
          <w:rFonts w:ascii="Cambria" w:hAnsi="Cambria"/>
          <w:sz w:val="24"/>
          <w:szCs w:val="24"/>
        </w:rPr>
        <w:t>Bagaimana pengaruh kebijakan deviden terhadap nilai perusahaan nilai perusahaan pada perusahaan sektor perbankan yang terdaftar di Bursa Efek Indonesia periode 2017-2021?</w:t>
      </w:r>
    </w:p>
    <w:p w14:paraId="44B686DF" w14:textId="77777777" w:rsidR="008537E0" w:rsidRPr="008537E0" w:rsidRDefault="008537E0" w:rsidP="008537E0">
      <w:pPr>
        <w:pStyle w:val="ListParagraph"/>
        <w:widowControl w:val="0"/>
        <w:numPr>
          <w:ilvl w:val="0"/>
          <w:numId w:val="5"/>
        </w:numPr>
        <w:autoSpaceDE w:val="0"/>
        <w:autoSpaceDN w:val="0"/>
        <w:spacing w:after="0" w:line="360" w:lineRule="auto"/>
        <w:contextualSpacing w:val="0"/>
        <w:jc w:val="both"/>
        <w:rPr>
          <w:rFonts w:ascii="Cambria" w:hAnsi="Cambria"/>
          <w:sz w:val="24"/>
          <w:szCs w:val="24"/>
        </w:rPr>
      </w:pPr>
      <w:r w:rsidRPr="008537E0">
        <w:rPr>
          <w:rFonts w:ascii="Cambria" w:hAnsi="Cambria"/>
          <w:sz w:val="24"/>
          <w:szCs w:val="24"/>
        </w:rPr>
        <w:t>Bagaimana pengaruh kebijakan utang terhadap nilai perusahaan nilai perusahaan pada perusahaan sektor perbankan yang terdaftar di Bursa Efek Indonesia periode 2017 - 2021?</w:t>
      </w:r>
    </w:p>
    <w:p w14:paraId="2960F254" w14:textId="77777777" w:rsidR="008537E0" w:rsidRPr="006F767F" w:rsidRDefault="008537E0" w:rsidP="008537E0">
      <w:pPr>
        <w:pStyle w:val="ListParagraph"/>
        <w:widowControl w:val="0"/>
        <w:numPr>
          <w:ilvl w:val="0"/>
          <w:numId w:val="5"/>
        </w:numPr>
        <w:autoSpaceDE w:val="0"/>
        <w:autoSpaceDN w:val="0"/>
        <w:spacing w:after="0" w:line="360" w:lineRule="auto"/>
        <w:contextualSpacing w:val="0"/>
        <w:jc w:val="both"/>
        <w:rPr>
          <w:rFonts w:ascii="Cambria" w:hAnsi="Cambria"/>
          <w:sz w:val="24"/>
          <w:szCs w:val="24"/>
        </w:rPr>
      </w:pPr>
      <w:r w:rsidRPr="008537E0">
        <w:rPr>
          <w:rFonts w:ascii="Cambria" w:hAnsi="Cambria"/>
          <w:sz w:val="24"/>
          <w:szCs w:val="24"/>
        </w:rPr>
        <w:t>Bagaimana pengaruh laba terhadap nilai perusahaan nilai perusahaan pada perusahaan sektor perbankan yang terdaftar di Bursa Efek Indonesia periode 2017-2021?</w:t>
      </w:r>
    </w:p>
    <w:p w14:paraId="54219FD3" w14:textId="77777777" w:rsidR="006F767F" w:rsidRDefault="006F767F" w:rsidP="006F767F">
      <w:pPr>
        <w:widowControl w:val="0"/>
        <w:autoSpaceDE w:val="0"/>
        <w:autoSpaceDN w:val="0"/>
        <w:spacing w:after="0" w:line="240" w:lineRule="auto"/>
        <w:rPr>
          <w:rFonts w:ascii="Cambria" w:hAnsi="Cambria"/>
          <w:b/>
          <w:sz w:val="24"/>
          <w:szCs w:val="24"/>
          <w:lang w:val="id-ID"/>
        </w:rPr>
      </w:pPr>
    </w:p>
    <w:p w14:paraId="28FD42FC" w14:textId="77777777" w:rsidR="006F767F" w:rsidRDefault="006F767F" w:rsidP="006F767F">
      <w:pPr>
        <w:widowControl w:val="0"/>
        <w:autoSpaceDE w:val="0"/>
        <w:autoSpaceDN w:val="0"/>
        <w:spacing w:after="0" w:line="240" w:lineRule="auto"/>
        <w:rPr>
          <w:rFonts w:ascii="Cambria" w:hAnsi="Cambria"/>
          <w:b/>
          <w:sz w:val="24"/>
          <w:szCs w:val="24"/>
          <w:lang w:val="id-ID"/>
        </w:rPr>
      </w:pPr>
    </w:p>
    <w:p w14:paraId="16FF9584" w14:textId="77777777" w:rsidR="006F767F" w:rsidRDefault="006F767F" w:rsidP="006F767F">
      <w:pPr>
        <w:widowControl w:val="0"/>
        <w:autoSpaceDE w:val="0"/>
        <w:autoSpaceDN w:val="0"/>
        <w:spacing w:after="0" w:line="240" w:lineRule="auto"/>
        <w:rPr>
          <w:rFonts w:ascii="Cambria" w:hAnsi="Cambria"/>
          <w:b/>
          <w:sz w:val="24"/>
          <w:szCs w:val="24"/>
          <w:lang w:val="id-ID"/>
        </w:rPr>
      </w:pPr>
    </w:p>
    <w:p w14:paraId="561A7759" w14:textId="77777777" w:rsidR="006F767F" w:rsidRPr="006F767F" w:rsidRDefault="006F767F" w:rsidP="006F767F">
      <w:pPr>
        <w:widowControl w:val="0"/>
        <w:autoSpaceDE w:val="0"/>
        <w:autoSpaceDN w:val="0"/>
        <w:spacing w:after="0" w:line="240" w:lineRule="auto"/>
        <w:rPr>
          <w:rFonts w:ascii="Cambria" w:hAnsi="Cambria"/>
          <w:b/>
          <w:sz w:val="24"/>
          <w:szCs w:val="24"/>
        </w:rPr>
      </w:pPr>
      <w:r w:rsidRPr="006F767F">
        <w:rPr>
          <w:rFonts w:ascii="Cambria" w:hAnsi="Cambria"/>
          <w:b/>
          <w:sz w:val="24"/>
          <w:szCs w:val="24"/>
        </w:rPr>
        <w:lastRenderedPageBreak/>
        <w:t>Hipotesis Penelitian</w:t>
      </w:r>
    </w:p>
    <w:p w14:paraId="506180D3" w14:textId="77777777" w:rsidR="006F767F" w:rsidRPr="000D4978" w:rsidRDefault="006F767F" w:rsidP="006F767F">
      <w:pPr>
        <w:pStyle w:val="BodyText"/>
        <w:spacing w:before="0" w:beforeAutospacing="0" w:after="0" w:afterAutospacing="0" w:line="360" w:lineRule="auto"/>
        <w:ind w:left="720"/>
        <w:rPr>
          <w:rFonts w:ascii="Cambria" w:hAnsi="Cambria"/>
        </w:rPr>
      </w:pPr>
      <w:r w:rsidRPr="000D4978">
        <w:rPr>
          <w:rFonts w:ascii="Cambria" w:hAnsi="Cambria"/>
        </w:rPr>
        <w:t>H1 : Terdapat pengaruh yang signifikan antara aset terhadap nilai perusahaan.</w:t>
      </w:r>
    </w:p>
    <w:p w14:paraId="47980348" w14:textId="77777777" w:rsidR="006F767F" w:rsidRDefault="006F767F" w:rsidP="00AA0BD1">
      <w:pPr>
        <w:pStyle w:val="BodyText"/>
        <w:spacing w:before="0" w:beforeAutospacing="0" w:after="0" w:afterAutospacing="0" w:line="360" w:lineRule="auto"/>
        <w:ind w:left="1134" w:hanging="414"/>
        <w:rPr>
          <w:rFonts w:ascii="Cambria" w:hAnsi="Cambria"/>
        </w:rPr>
      </w:pPr>
      <w:r w:rsidRPr="000D4978">
        <w:rPr>
          <w:rFonts w:ascii="Cambria" w:hAnsi="Cambria"/>
        </w:rPr>
        <w:t>H2 : Terdapat pengaruh yang signifikan antara k</w:t>
      </w:r>
      <w:r>
        <w:rPr>
          <w:rFonts w:ascii="Cambria" w:hAnsi="Cambria"/>
        </w:rPr>
        <w:t>ebijakan deviden terhadap nilai</w:t>
      </w:r>
      <w:r w:rsidRPr="000D4978">
        <w:rPr>
          <w:rFonts w:ascii="Cambria" w:hAnsi="Cambria"/>
        </w:rPr>
        <w:t xml:space="preserve">perusahaan. </w:t>
      </w:r>
    </w:p>
    <w:p w14:paraId="65E0CA6F" w14:textId="77777777" w:rsidR="00AA0BD1" w:rsidRDefault="006F767F" w:rsidP="006F767F">
      <w:pPr>
        <w:pStyle w:val="BodyText"/>
        <w:spacing w:before="0" w:beforeAutospacing="0" w:after="0" w:afterAutospacing="0" w:line="360" w:lineRule="auto"/>
        <w:ind w:left="709" w:firstLine="11"/>
        <w:rPr>
          <w:rFonts w:ascii="Cambria" w:hAnsi="Cambria"/>
        </w:rPr>
      </w:pPr>
      <w:r w:rsidRPr="000D4978">
        <w:rPr>
          <w:rFonts w:ascii="Cambria" w:hAnsi="Cambria"/>
        </w:rPr>
        <w:t xml:space="preserve">H3 : Terdapat pengaruh yang signifikan antara kebijakan utang terhadap nilai perusahaan. </w:t>
      </w:r>
    </w:p>
    <w:p w14:paraId="2DC2B8D3" w14:textId="7BC2E37B" w:rsidR="006F767F" w:rsidRPr="000D4978" w:rsidRDefault="006F767F" w:rsidP="006F767F">
      <w:pPr>
        <w:pStyle w:val="BodyText"/>
        <w:spacing w:before="0" w:beforeAutospacing="0" w:after="0" w:afterAutospacing="0" w:line="360" w:lineRule="auto"/>
        <w:ind w:left="709" w:firstLine="11"/>
        <w:rPr>
          <w:rFonts w:ascii="Cambria" w:hAnsi="Cambria"/>
        </w:rPr>
      </w:pPr>
      <w:r w:rsidRPr="000D4978">
        <w:rPr>
          <w:rFonts w:ascii="Cambria" w:hAnsi="Cambria"/>
        </w:rPr>
        <w:t>H4 : Terdapat pengaruh yang signifikan antara laba terhadap nilai perusahaan.</w:t>
      </w:r>
    </w:p>
    <w:p w14:paraId="60CD65C2" w14:textId="77777777" w:rsidR="006F767F" w:rsidRDefault="006F767F" w:rsidP="008537E0">
      <w:pPr>
        <w:pStyle w:val="Heading2"/>
        <w:keepNext w:val="0"/>
        <w:keepLines w:val="0"/>
        <w:widowControl w:val="0"/>
        <w:autoSpaceDE w:val="0"/>
        <w:autoSpaceDN w:val="0"/>
        <w:spacing w:before="0" w:after="0" w:line="240" w:lineRule="auto"/>
        <w:jc w:val="both"/>
        <w:rPr>
          <w:rFonts w:ascii="Cambria" w:hAnsi="Cambria"/>
          <w:b w:val="0"/>
          <w:sz w:val="24"/>
          <w:szCs w:val="24"/>
          <w:lang w:val="id-ID"/>
        </w:rPr>
      </w:pPr>
    </w:p>
    <w:p w14:paraId="6617A5DE" w14:textId="77777777" w:rsidR="006F767F" w:rsidRPr="006F767F" w:rsidRDefault="006F767F" w:rsidP="006F767F">
      <w:pPr>
        <w:rPr>
          <w:lang w:val="id-ID"/>
        </w:rPr>
      </w:pPr>
    </w:p>
    <w:p w14:paraId="073D47C7" w14:textId="77777777" w:rsidR="008537E0" w:rsidRPr="006F767F" w:rsidRDefault="008537E0" w:rsidP="008537E0">
      <w:pPr>
        <w:pStyle w:val="Heading2"/>
        <w:keepNext w:val="0"/>
        <w:keepLines w:val="0"/>
        <w:widowControl w:val="0"/>
        <w:autoSpaceDE w:val="0"/>
        <w:autoSpaceDN w:val="0"/>
        <w:spacing w:before="0" w:after="0" w:line="240" w:lineRule="auto"/>
        <w:jc w:val="both"/>
        <w:rPr>
          <w:rFonts w:ascii="Cambria" w:hAnsi="Cambria"/>
          <w:sz w:val="30"/>
          <w:szCs w:val="30"/>
        </w:rPr>
      </w:pPr>
      <w:r w:rsidRPr="006F767F">
        <w:rPr>
          <w:rFonts w:ascii="Cambria" w:hAnsi="Cambria"/>
          <w:sz w:val="30"/>
          <w:szCs w:val="30"/>
        </w:rPr>
        <w:t>Tinjauan Pustaka</w:t>
      </w:r>
    </w:p>
    <w:p w14:paraId="54F746CD" w14:textId="77777777" w:rsidR="008537E0" w:rsidRPr="008537E0" w:rsidRDefault="008537E0" w:rsidP="006F767F">
      <w:pPr>
        <w:widowControl w:val="0"/>
        <w:autoSpaceDE w:val="0"/>
        <w:autoSpaceDN w:val="0"/>
        <w:spacing w:after="0" w:line="276" w:lineRule="auto"/>
        <w:jc w:val="both"/>
        <w:rPr>
          <w:rFonts w:ascii="Cambria" w:hAnsi="Cambria"/>
          <w:b/>
          <w:sz w:val="24"/>
          <w:szCs w:val="24"/>
        </w:rPr>
      </w:pPr>
      <w:r w:rsidRPr="008537E0">
        <w:rPr>
          <w:rFonts w:ascii="Cambria" w:hAnsi="Cambria"/>
          <w:b/>
          <w:sz w:val="24"/>
          <w:szCs w:val="24"/>
        </w:rPr>
        <w:t>Aset</w:t>
      </w:r>
    </w:p>
    <w:p w14:paraId="71460BCC" w14:textId="6C8A5293" w:rsidR="008537E0" w:rsidRPr="008537E0" w:rsidRDefault="008537E0" w:rsidP="006F767F">
      <w:pPr>
        <w:pStyle w:val="BodyText"/>
        <w:spacing w:before="0" w:beforeAutospacing="0" w:after="0" w:afterAutospacing="0" w:line="276" w:lineRule="auto"/>
        <w:ind w:firstLine="720"/>
        <w:jc w:val="both"/>
        <w:rPr>
          <w:rFonts w:ascii="Cambria" w:hAnsi="Cambria"/>
        </w:rPr>
      </w:pPr>
      <w:r w:rsidRPr="008537E0">
        <w:rPr>
          <w:rFonts w:ascii="Cambria" w:hAnsi="Cambria"/>
        </w:rPr>
        <w:t>Aset tetap merupakan salah satu sub-klasifikasi aset yang dimiliki oleh perusahaan, dan merupakan komponen yang paling penting dalam perusahaan dalam hal fungsi, jumlah dana yang diinvestasikan, dan pengawasan, seperti yang dinyatakan oleh Hery (2014).</w:t>
      </w:r>
    </w:p>
    <w:p w14:paraId="6CBB8764" w14:textId="77777777" w:rsidR="008537E0" w:rsidRDefault="008537E0" w:rsidP="006F767F">
      <w:pPr>
        <w:pStyle w:val="Heading2"/>
        <w:keepNext w:val="0"/>
        <w:keepLines w:val="0"/>
        <w:widowControl w:val="0"/>
        <w:autoSpaceDE w:val="0"/>
        <w:autoSpaceDN w:val="0"/>
        <w:spacing w:before="0" w:after="0" w:line="276" w:lineRule="auto"/>
        <w:jc w:val="both"/>
        <w:rPr>
          <w:rFonts w:ascii="Cambria" w:hAnsi="Cambria"/>
          <w:sz w:val="24"/>
          <w:szCs w:val="24"/>
          <w:lang w:val="id-ID"/>
        </w:rPr>
      </w:pPr>
    </w:p>
    <w:p w14:paraId="740A6517" w14:textId="77777777" w:rsidR="008537E0" w:rsidRPr="008537E0" w:rsidRDefault="008537E0" w:rsidP="006F767F">
      <w:pPr>
        <w:pStyle w:val="Heading2"/>
        <w:keepNext w:val="0"/>
        <w:keepLines w:val="0"/>
        <w:widowControl w:val="0"/>
        <w:autoSpaceDE w:val="0"/>
        <w:autoSpaceDN w:val="0"/>
        <w:spacing w:before="0" w:after="0" w:line="276" w:lineRule="auto"/>
        <w:jc w:val="both"/>
        <w:rPr>
          <w:rFonts w:ascii="Cambria" w:hAnsi="Cambria"/>
          <w:sz w:val="24"/>
          <w:szCs w:val="24"/>
        </w:rPr>
      </w:pPr>
      <w:r w:rsidRPr="008537E0">
        <w:rPr>
          <w:rFonts w:ascii="Cambria" w:hAnsi="Cambria"/>
          <w:sz w:val="24"/>
          <w:szCs w:val="24"/>
        </w:rPr>
        <w:t>Kebijakan Dividen</w:t>
      </w:r>
    </w:p>
    <w:p w14:paraId="014C9E88" w14:textId="525A80F8" w:rsidR="008537E0" w:rsidRDefault="008537E0" w:rsidP="006F767F">
      <w:pPr>
        <w:pStyle w:val="BodyText"/>
        <w:spacing w:before="0" w:beforeAutospacing="0" w:after="0" w:afterAutospacing="0" w:line="276" w:lineRule="auto"/>
        <w:ind w:firstLine="720"/>
        <w:jc w:val="both"/>
        <w:rPr>
          <w:rFonts w:ascii="Cambria" w:hAnsi="Cambria"/>
        </w:rPr>
      </w:pPr>
      <w:r w:rsidRPr="008537E0">
        <w:rPr>
          <w:rFonts w:ascii="Cambria" w:hAnsi="Cambria"/>
        </w:rPr>
        <w:t>Sesuai dengan Suryani dan Khafid (2015), kuantitas kebijakan dividen memiliki pengaruh yang besar dan positif terhadap kebijakan hutang perusahaan. Sebaliknya, Anindhita (2017) menyatakan bahwa kebijakan utang dapat diabaikan dan tidak signifikan dipengaruhi oleh kebijakan dividen. Modal ekuitas lebih cenderung digunakan untuk membiayai perusahaan dengan rasio pembayaran dividen yang tinggi. Rasio pembayaran dividen atau dividend payout ratio (DPR)</w:t>
      </w:r>
      <w:r>
        <w:rPr>
          <w:rFonts w:ascii="Cambria" w:hAnsi="Cambria"/>
        </w:rPr>
        <w:t>.</w:t>
      </w:r>
    </w:p>
    <w:p w14:paraId="43516086" w14:textId="77777777" w:rsidR="006F767F" w:rsidRDefault="006F767F" w:rsidP="006F767F">
      <w:pPr>
        <w:pStyle w:val="BodyText"/>
        <w:spacing w:before="0" w:beforeAutospacing="0" w:after="0" w:afterAutospacing="0" w:line="276" w:lineRule="auto"/>
        <w:ind w:firstLine="720"/>
        <w:jc w:val="both"/>
        <w:rPr>
          <w:rFonts w:ascii="Cambria" w:hAnsi="Cambria"/>
        </w:rPr>
      </w:pPr>
    </w:p>
    <w:p w14:paraId="118EB309" w14:textId="2A772DD2" w:rsidR="009411AB" w:rsidRDefault="009411AB" w:rsidP="009411AB">
      <w:pPr>
        <w:pStyle w:val="BodyText"/>
        <w:spacing w:before="0" w:beforeAutospacing="0" w:after="0" w:afterAutospacing="0" w:line="360" w:lineRule="auto"/>
        <w:ind w:firstLine="720"/>
        <w:jc w:val="center"/>
        <w:rPr>
          <w:rFonts w:ascii="Cambria" w:hAnsi="Cambria"/>
        </w:rPr>
      </w:pPr>
      <w:r>
        <w:rPr>
          <w:noProof/>
        </w:rPr>
        <w:drawing>
          <wp:inline distT="0" distB="0" distL="0" distR="0" wp14:anchorId="3925AB0E" wp14:editId="752002C9">
            <wp:extent cx="1788160" cy="390525"/>
            <wp:effectExtent l="0" t="0" r="2540" b="9525"/>
            <wp:docPr id="21" name="Image 21"/>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3" cstate="print"/>
                    <a:stretch>
                      <a:fillRect/>
                    </a:stretch>
                  </pic:blipFill>
                  <pic:spPr>
                    <a:xfrm>
                      <a:off x="0" y="0"/>
                      <a:ext cx="1788160" cy="390525"/>
                    </a:xfrm>
                    <a:prstGeom prst="rect">
                      <a:avLst/>
                    </a:prstGeom>
                  </pic:spPr>
                </pic:pic>
              </a:graphicData>
            </a:graphic>
          </wp:inline>
        </w:drawing>
      </w:r>
    </w:p>
    <w:p w14:paraId="4BAA10E8" w14:textId="77777777" w:rsidR="000D4978" w:rsidRDefault="000D4978" w:rsidP="006F767F">
      <w:pPr>
        <w:pStyle w:val="BodyText"/>
        <w:spacing w:before="0" w:beforeAutospacing="0" w:after="0" w:afterAutospacing="0" w:line="360" w:lineRule="auto"/>
        <w:rPr>
          <w:rFonts w:ascii="Cambria" w:hAnsi="Cambria"/>
        </w:rPr>
      </w:pPr>
    </w:p>
    <w:p w14:paraId="04ECA1A4" w14:textId="77777777" w:rsidR="000D4978" w:rsidRPr="000D4978" w:rsidRDefault="000D4978" w:rsidP="000D4978">
      <w:pPr>
        <w:pStyle w:val="Heading2"/>
        <w:keepNext w:val="0"/>
        <w:keepLines w:val="0"/>
        <w:widowControl w:val="0"/>
        <w:autoSpaceDE w:val="0"/>
        <w:autoSpaceDN w:val="0"/>
        <w:spacing w:before="0" w:after="0" w:line="240" w:lineRule="auto"/>
        <w:jc w:val="both"/>
        <w:rPr>
          <w:rFonts w:ascii="Cambria" w:hAnsi="Cambria"/>
          <w:sz w:val="24"/>
          <w:szCs w:val="24"/>
        </w:rPr>
      </w:pPr>
      <w:r w:rsidRPr="000D4978">
        <w:rPr>
          <w:rFonts w:ascii="Cambria" w:hAnsi="Cambria"/>
          <w:sz w:val="24"/>
          <w:szCs w:val="24"/>
        </w:rPr>
        <w:t>Kebijakan Utang</w:t>
      </w:r>
    </w:p>
    <w:tbl>
      <w:tblPr>
        <w:tblW w:w="0" w:type="auto"/>
        <w:tblCellSpacing w:w="0" w:type="dxa"/>
        <w:tblCellMar>
          <w:left w:w="0" w:type="dxa"/>
          <w:right w:w="0" w:type="dxa"/>
        </w:tblCellMar>
        <w:tblLook w:val="04A0" w:firstRow="1" w:lastRow="0" w:firstColumn="1" w:lastColumn="0" w:noHBand="0" w:noVBand="1"/>
      </w:tblPr>
      <w:tblGrid>
        <w:gridCol w:w="6"/>
        <w:gridCol w:w="6"/>
      </w:tblGrid>
      <w:tr w:rsidR="000D4978" w:rsidRPr="000D4978" w14:paraId="31E4A693" w14:textId="77777777" w:rsidTr="000D4978">
        <w:trPr>
          <w:gridAfter w:val="1"/>
          <w:tblCellSpacing w:w="0" w:type="dxa"/>
        </w:trPr>
        <w:tc>
          <w:tcPr>
            <w:tcW w:w="0" w:type="auto"/>
            <w:vAlign w:val="center"/>
            <w:hideMark/>
          </w:tcPr>
          <w:p w14:paraId="0501D212" w14:textId="77777777" w:rsidR="000D4978" w:rsidRPr="000D4978" w:rsidRDefault="000D4978" w:rsidP="000D4978">
            <w:pPr>
              <w:spacing w:after="0"/>
              <w:rPr>
                <w:rFonts w:ascii="Cambria" w:hAnsi="Cambria"/>
                <w:sz w:val="24"/>
                <w:szCs w:val="24"/>
              </w:rPr>
            </w:pPr>
          </w:p>
        </w:tc>
      </w:tr>
      <w:tr w:rsidR="000D4978" w:rsidRPr="000D4978" w14:paraId="1CE45222" w14:textId="77777777" w:rsidTr="000D4978">
        <w:trPr>
          <w:tblCellSpacing w:w="0" w:type="dxa"/>
        </w:trPr>
        <w:tc>
          <w:tcPr>
            <w:tcW w:w="0" w:type="auto"/>
            <w:vAlign w:val="center"/>
            <w:hideMark/>
          </w:tcPr>
          <w:p w14:paraId="2BD72B6C" w14:textId="77777777" w:rsidR="000D4978" w:rsidRPr="000D4978" w:rsidRDefault="000D4978" w:rsidP="000D4978">
            <w:pPr>
              <w:spacing w:after="0"/>
              <w:rPr>
                <w:rFonts w:ascii="Cambria" w:hAnsi="Cambria"/>
                <w:sz w:val="24"/>
                <w:szCs w:val="24"/>
              </w:rPr>
            </w:pPr>
          </w:p>
        </w:tc>
        <w:tc>
          <w:tcPr>
            <w:tcW w:w="0" w:type="auto"/>
            <w:vAlign w:val="center"/>
            <w:hideMark/>
          </w:tcPr>
          <w:p w14:paraId="78A995CA" w14:textId="78C6BCBD" w:rsidR="000D4978" w:rsidRPr="000D4978" w:rsidRDefault="000D4978" w:rsidP="000D4978">
            <w:pPr>
              <w:spacing w:after="0"/>
              <w:rPr>
                <w:rFonts w:ascii="Cambria" w:hAnsi="Cambria"/>
                <w:sz w:val="24"/>
                <w:szCs w:val="24"/>
              </w:rPr>
            </w:pPr>
          </w:p>
        </w:tc>
      </w:tr>
    </w:tbl>
    <w:p w14:paraId="74701E30" w14:textId="31C3C178" w:rsidR="000D4978" w:rsidRDefault="000D4978" w:rsidP="000D4978">
      <w:pPr>
        <w:pStyle w:val="BodyText"/>
        <w:spacing w:before="0" w:beforeAutospacing="0" w:after="0" w:afterAutospacing="0" w:line="360" w:lineRule="auto"/>
        <w:ind w:firstLine="720"/>
        <w:jc w:val="both"/>
        <w:rPr>
          <w:rFonts w:ascii="Cambria" w:hAnsi="Cambria"/>
        </w:rPr>
      </w:pPr>
      <w:r w:rsidRPr="000D4978">
        <w:rPr>
          <w:rFonts w:ascii="Cambria" w:hAnsi="Cambria"/>
        </w:rPr>
        <w:t>Seperti yang dikatakan Diana (2011), hutang merupakan salah satu komponen dari struktur modal, oleh karena itu struktur modal menjadi salah satu faktor dalam menentukan kebijakan hutang. Terdapat dua rasio utang yang diidentifikasi oleh Nudyastuti, et al (2021) yaitu Debt-to-Asset Ratio (DAR) dan Debt-to-Equity Ratio (DER). Untuk mengevaluasi sejauh mana aset perusahaan dibiayai oleh utang atau sejauh mana utang perusahaan mempengaruhi pengelolaan aset, rasio DAR merupakan rasio utang.</w:t>
      </w:r>
    </w:p>
    <w:p w14:paraId="1F27291F" w14:textId="0C7CE0CA" w:rsidR="000D4978" w:rsidRDefault="000D4978" w:rsidP="000D4978">
      <w:pPr>
        <w:pStyle w:val="BodyText"/>
        <w:spacing w:before="0" w:beforeAutospacing="0" w:after="0" w:afterAutospacing="0" w:line="360" w:lineRule="auto"/>
        <w:ind w:firstLine="720"/>
        <w:jc w:val="center"/>
        <w:rPr>
          <w:rFonts w:ascii="Cambria" w:hAnsi="Cambria"/>
        </w:rPr>
      </w:pPr>
      <w:r>
        <w:rPr>
          <w:noProof/>
        </w:rPr>
        <w:drawing>
          <wp:inline distT="0" distB="0" distL="0" distR="0" wp14:anchorId="0AD11CB7" wp14:editId="13474F8E">
            <wp:extent cx="1484630" cy="365760"/>
            <wp:effectExtent l="0" t="0" r="1270" b="0"/>
            <wp:docPr id="3" name="Picture 3" descr="C:\Users\LE\AppData\Local\Temp\ksohtml3504\wp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AppData\Local\Temp\ksohtml3504\wps4.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84630" cy="365760"/>
                    </a:xfrm>
                    <a:prstGeom prst="rect">
                      <a:avLst/>
                    </a:prstGeom>
                    <a:noFill/>
                    <a:ln>
                      <a:noFill/>
                    </a:ln>
                  </pic:spPr>
                </pic:pic>
              </a:graphicData>
            </a:graphic>
          </wp:inline>
        </w:drawing>
      </w:r>
    </w:p>
    <w:p w14:paraId="3FAC05FE" w14:textId="77777777" w:rsidR="000D4978" w:rsidRDefault="000D4978" w:rsidP="000D4978">
      <w:pPr>
        <w:pStyle w:val="BodyText"/>
        <w:spacing w:line="360" w:lineRule="auto"/>
        <w:ind w:firstLine="720"/>
        <w:jc w:val="both"/>
      </w:pPr>
      <w:r>
        <w:lastRenderedPageBreak/>
        <w:t>Rasio Debt to equity ratio (DER) merupakan rasio hutang yang digunakan untuk mengukur seberapa banyak penggunaan hutang sebagai pendanaannya.</w:t>
      </w:r>
    </w:p>
    <w:p w14:paraId="26C5E9AC" w14:textId="1818FB59" w:rsidR="000D4978" w:rsidRDefault="000D4978" w:rsidP="00591BBA">
      <w:pPr>
        <w:pStyle w:val="BodyText"/>
        <w:jc w:val="center"/>
      </w:pPr>
      <w:r>
        <w:rPr>
          <w:noProof/>
        </w:rPr>
        <w:drawing>
          <wp:inline distT="0" distB="0" distL="0" distR="0" wp14:anchorId="2ACE1944" wp14:editId="71D61826">
            <wp:extent cx="1613535" cy="441325"/>
            <wp:effectExtent l="0" t="0" r="5715" b="0"/>
            <wp:docPr id="4" name="Picture 4" descr="C:\Users\LE\AppData\Local\Temp\ksohtml3504\wp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AppData\Local\Temp\ksohtml3504\wps5.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3535" cy="441325"/>
                    </a:xfrm>
                    <a:prstGeom prst="rect">
                      <a:avLst/>
                    </a:prstGeom>
                    <a:noFill/>
                    <a:ln>
                      <a:noFill/>
                    </a:ln>
                  </pic:spPr>
                </pic:pic>
              </a:graphicData>
            </a:graphic>
          </wp:inline>
        </w:drawing>
      </w:r>
    </w:p>
    <w:p w14:paraId="53000875" w14:textId="77777777" w:rsidR="006F767F" w:rsidRDefault="006F767F" w:rsidP="000D4978">
      <w:pPr>
        <w:pStyle w:val="Heading2"/>
        <w:keepNext w:val="0"/>
        <w:keepLines w:val="0"/>
        <w:widowControl w:val="0"/>
        <w:autoSpaceDE w:val="0"/>
        <w:autoSpaceDN w:val="0"/>
        <w:spacing w:before="0" w:after="0" w:line="240" w:lineRule="auto"/>
        <w:jc w:val="both"/>
        <w:rPr>
          <w:rFonts w:ascii="Cambria" w:hAnsi="Cambria"/>
          <w:sz w:val="24"/>
          <w:szCs w:val="24"/>
          <w:lang w:val="id-ID"/>
        </w:rPr>
      </w:pPr>
    </w:p>
    <w:p w14:paraId="49D602C3" w14:textId="1E860FCD" w:rsidR="000D4978" w:rsidRPr="000D4978" w:rsidRDefault="00591BBA" w:rsidP="000D4978">
      <w:pPr>
        <w:pStyle w:val="Heading2"/>
        <w:keepNext w:val="0"/>
        <w:keepLines w:val="0"/>
        <w:widowControl w:val="0"/>
        <w:autoSpaceDE w:val="0"/>
        <w:autoSpaceDN w:val="0"/>
        <w:spacing w:before="0" w:after="0" w:line="240" w:lineRule="auto"/>
        <w:jc w:val="both"/>
        <w:rPr>
          <w:rFonts w:ascii="Cambria" w:hAnsi="Cambria"/>
          <w:sz w:val="24"/>
          <w:szCs w:val="24"/>
        </w:rPr>
      </w:pPr>
      <w:r>
        <w:rPr>
          <w:rFonts w:ascii="Cambria" w:hAnsi="Cambria"/>
          <w:sz w:val="24"/>
          <w:szCs w:val="24"/>
          <w:lang w:val="id-ID"/>
        </w:rPr>
        <w:t>L</w:t>
      </w:r>
      <w:r w:rsidR="000D4978" w:rsidRPr="000D4978">
        <w:rPr>
          <w:rFonts w:ascii="Cambria" w:hAnsi="Cambria"/>
          <w:sz w:val="24"/>
          <w:szCs w:val="24"/>
        </w:rPr>
        <w:t>aba</w:t>
      </w:r>
    </w:p>
    <w:p w14:paraId="3234D453" w14:textId="6DA3F641" w:rsidR="000D4978" w:rsidRPr="000D4978" w:rsidRDefault="000D4978" w:rsidP="000D4978">
      <w:pPr>
        <w:pStyle w:val="BodyText"/>
        <w:spacing w:before="0" w:beforeAutospacing="0" w:after="0" w:afterAutospacing="0" w:line="360" w:lineRule="auto"/>
        <w:ind w:firstLine="720"/>
        <w:jc w:val="both"/>
        <w:rPr>
          <w:rFonts w:ascii="Cambria" w:hAnsi="Cambria"/>
        </w:rPr>
      </w:pPr>
      <w:r w:rsidRPr="000D4978">
        <w:rPr>
          <w:rFonts w:ascii="Cambria" w:hAnsi="Cambria"/>
        </w:rPr>
        <w:t>Laba adalah selisih antara pendapatan yang direalisasikan dari transaksi pada periode tertentu dan biaya yang dikeluarkan selama periode tersebut. Laba adalah jumlah yang tersisa setelah semua biaya (termasuk penyesuaian pemeliharaan modal, jika ada) dikurangi dari pendapatan. Nikmah (2020) menyatakan bahwa pertumbuhan laba yang dibahas dalam penelitian ini ditentukan dengan cara membagi selisih total laba tahun berjalan dengan total laba tahun sebelumnya dengan total laba tahun sebelumnya.</w:t>
      </w:r>
    </w:p>
    <w:p w14:paraId="2FC233B1" w14:textId="25827E2A" w:rsidR="000D4978" w:rsidRDefault="000D4978" w:rsidP="00591BBA">
      <w:pPr>
        <w:pStyle w:val="BodyText"/>
        <w:spacing w:line="360" w:lineRule="auto"/>
        <w:jc w:val="center"/>
      </w:pPr>
      <w:r>
        <w:rPr>
          <w:noProof/>
        </w:rPr>
        <w:drawing>
          <wp:inline distT="0" distB="0" distL="0" distR="0" wp14:anchorId="32C1F298" wp14:editId="55847554">
            <wp:extent cx="2689225" cy="247650"/>
            <wp:effectExtent l="0" t="0" r="0" b="0"/>
            <wp:docPr id="6" name="Picture 6" descr="C:\Users\LE\AppData\Local\Temp\ksohtml3504\wps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E\AppData\Local\Temp\ksohtml3504\wps6.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89225" cy="247650"/>
                    </a:xfrm>
                    <a:prstGeom prst="rect">
                      <a:avLst/>
                    </a:prstGeom>
                    <a:noFill/>
                    <a:ln>
                      <a:noFill/>
                    </a:ln>
                  </pic:spPr>
                </pic:pic>
              </a:graphicData>
            </a:graphic>
          </wp:inline>
        </w:drawing>
      </w:r>
    </w:p>
    <w:p w14:paraId="4845E857" w14:textId="77777777" w:rsidR="000D4978" w:rsidRPr="000D4978" w:rsidRDefault="000D4978" w:rsidP="00591BBA">
      <w:pPr>
        <w:pStyle w:val="Heading2"/>
        <w:keepNext w:val="0"/>
        <w:keepLines w:val="0"/>
        <w:widowControl w:val="0"/>
        <w:autoSpaceDE w:val="0"/>
        <w:autoSpaceDN w:val="0"/>
        <w:spacing w:before="0" w:after="0" w:line="240" w:lineRule="auto"/>
        <w:jc w:val="both"/>
        <w:rPr>
          <w:rFonts w:ascii="Cambria" w:hAnsi="Cambria"/>
          <w:sz w:val="24"/>
          <w:szCs w:val="24"/>
        </w:rPr>
      </w:pPr>
      <w:r w:rsidRPr="000D4978">
        <w:rPr>
          <w:rFonts w:ascii="Cambria" w:hAnsi="Cambria"/>
          <w:sz w:val="24"/>
          <w:szCs w:val="24"/>
        </w:rPr>
        <w:t>Nilai Perusahaan</w:t>
      </w:r>
    </w:p>
    <w:p w14:paraId="3CEF1FAE" w14:textId="77777777" w:rsidR="000D4978" w:rsidRDefault="000D4978" w:rsidP="00591BBA">
      <w:pPr>
        <w:pStyle w:val="BodyText"/>
        <w:spacing w:before="0" w:beforeAutospacing="0" w:after="0" w:afterAutospacing="0" w:line="360" w:lineRule="auto"/>
        <w:ind w:firstLine="720"/>
        <w:jc w:val="both"/>
        <w:rPr>
          <w:rFonts w:ascii="Cambria" w:hAnsi="Cambria"/>
        </w:rPr>
      </w:pPr>
      <w:r w:rsidRPr="000D4978">
        <w:rPr>
          <w:rFonts w:ascii="Cambria" w:hAnsi="Cambria"/>
        </w:rPr>
        <w:t>Nilai perusahaan, yang mendefinisikan persepsi investor terhadap emiten tertentu dan merupakan nilai wajar perusahaan, adalah persepsi yang selalu dikaitkan dengan harga saham. Nilai perusahaan dapat diketahui dari nilai saham yang bersangkutan. Dari sudut pandang manajemen, nilai dari para pengurus perusahaan secara signifikan mempengaruhi nilai kontemporernya. Manajemen berbasis nilai juga merupakan suatu proses yang bertujuan untuk mengoptimalkan nilai perusahaan melalui perhitungan yang berkesinambungan(Agus Harjito dan Martono, 2012).</w:t>
      </w:r>
    </w:p>
    <w:p w14:paraId="1372454D" w14:textId="50F7D17D" w:rsidR="000D4978" w:rsidRPr="000D4978" w:rsidRDefault="000D4978" w:rsidP="00591BBA">
      <w:pPr>
        <w:pStyle w:val="BodyText"/>
        <w:spacing w:line="360" w:lineRule="auto"/>
        <w:ind w:firstLine="720"/>
        <w:jc w:val="center"/>
        <w:rPr>
          <w:rFonts w:ascii="Cambria" w:hAnsi="Cambria"/>
        </w:rPr>
      </w:pPr>
      <w:r>
        <w:rPr>
          <w:noProof/>
        </w:rPr>
        <w:drawing>
          <wp:inline distT="0" distB="0" distL="0" distR="0" wp14:anchorId="4E2C8ACA" wp14:editId="1DD5542E">
            <wp:extent cx="2354580" cy="429260"/>
            <wp:effectExtent l="0" t="0" r="7620" b="8890"/>
            <wp:docPr id="25" name="Image 25"/>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7" cstate="print"/>
                    <a:stretch>
                      <a:fillRect/>
                    </a:stretch>
                  </pic:blipFill>
                  <pic:spPr>
                    <a:xfrm>
                      <a:off x="0" y="0"/>
                      <a:ext cx="2354580" cy="429260"/>
                    </a:xfrm>
                    <a:prstGeom prst="rect">
                      <a:avLst/>
                    </a:prstGeom>
                  </pic:spPr>
                </pic:pic>
              </a:graphicData>
            </a:graphic>
          </wp:inline>
        </w:drawing>
      </w:r>
    </w:p>
    <w:tbl>
      <w:tblPr>
        <w:tblW w:w="0" w:type="auto"/>
        <w:tblCellSpacing w:w="0" w:type="dxa"/>
        <w:tblCellMar>
          <w:left w:w="0" w:type="dxa"/>
          <w:right w:w="0" w:type="dxa"/>
        </w:tblCellMar>
        <w:tblLook w:val="04A0" w:firstRow="1" w:lastRow="0" w:firstColumn="1" w:lastColumn="0" w:noHBand="0" w:noVBand="1"/>
      </w:tblPr>
      <w:tblGrid>
        <w:gridCol w:w="6"/>
        <w:gridCol w:w="6"/>
      </w:tblGrid>
      <w:tr w:rsidR="000D4978" w14:paraId="438FE28C" w14:textId="77777777" w:rsidTr="000D4978">
        <w:trPr>
          <w:gridAfter w:val="1"/>
          <w:tblCellSpacing w:w="0" w:type="dxa"/>
        </w:trPr>
        <w:tc>
          <w:tcPr>
            <w:tcW w:w="0" w:type="auto"/>
            <w:vAlign w:val="center"/>
            <w:hideMark/>
          </w:tcPr>
          <w:p w14:paraId="3C9F3A64" w14:textId="50F7D17D" w:rsidR="000D4978" w:rsidRDefault="000D4978">
            <w:pPr>
              <w:spacing w:after="0"/>
              <w:rPr>
                <w:sz w:val="24"/>
                <w:szCs w:val="24"/>
              </w:rPr>
            </w:pPr>
          </w:p>
        </w:tc>
      </w:tr>
      <w:tr w:rsidR="000D4978" w14:paraId="7D73DD3B" w14:textId="77777777" w:rsidTr="000D4978">
        <w:trPr>
          <w:tblCellSpacing w:w="0" w:type="dxa"/>
        </w:trPr>
        <w:tc>
          <w:tcPr>
            <w:tcW w:w="0" w:type="auto"/>
            <w:vAlign w:val="center"/>
            <w:hideMark/>
          </w:tcPr>
          <w:p w14:paraId="01F2F4FF" w14:textId="77777777" w:rsidR="000D4978" w:rsidRDefault="000D4978">
            <w:pPr>
              <w:spacing w:after="0"/>
              <w:rPr>
                <w:sz w:val="24"/>
                <w:szCs w:val="24"/>
              </w:rPr>
            </w:pPr>
          </w:p>
        </w:tc>
        <w:tc>
          <w:tcPr>
            <w:tcW w:w="0" w:type="auto"/>
            <w:vAlign w:val="center"/>
            <w:hideMark/>
          </w:tcPr>
          <w:p w14:paraId="60AD8FD6" w14:textId="0A8322BA" w:rsidR="000D4978" w:rsidRDefault="000D4978" w:rsidP="000D4978">
            <w:pPr>
              <w:spacing w:after="0"/>
              <w:rPr>
                <w:sz w:val="24"/>
                <w:szCs w:val="24"/>
              </w:rPr>
            </w:pPr>
          </w:p>
        </w:tc>
      </w:tr>
    </w:tbl>
    <w:p w14:paraId="1994352D" w14:textId="77777777" w:rsidR="000D4978" w:rsidRPr="00AA0BD1" w:rsidRDefault="000D4978" w:rsidP="000D4978">
      <w:pPr>
        <w:spacing w:line="360" w:lineRule="auto"/>
        <w:rPr>
          <w:lang w:val="id-ID"/>
        </w:rPr>
        <w:sectPr w:rsidR="000D4978" w:rsidRPr="00AA0BD1">
          <w:pgSz w:w="12240" w:h="15840"/>
          <w:pgMar w:top="1440" w:right="1440" w:bottom="1440" w:left="1440" w:header="720" w:footer="720" w:gutter="0"/>
          <w:cols w:space="720"/>
        </w:sectPr>
      </w:pPr>
    </w:p>
    <w:p w14:paraId="08823B47" w14:textId="77777777" w:rsidR="00787D28" w:rsidRPr="00787D28" w:rsidRDefault="00787D28" w:rsidP="000D4978">
      <w:pPr>
        <w:spacing w:after="60" w:line="276" w:lineRule="auto"/>
        <w:rPr>
          <w:rFonts w:ascii="Cambria" w:eastAsia="Cambria" w:hAnsi="Cambria" w:cs="Cambria"/>
          <w:b/>
          <w:sz w:val="24"/>
          <w:szCs w:val="24"/>
          <w:lang w:val="id-ID"/>
        </w:rPr>
      </w:pPr>
    </w:p>
    <w:p w14:paraId="0728BDE1" w14:textId="41092539" w:rsidR="00787D28" w:rsidRPr="00856FAB" w:rsidRDefault="00787D28" w:rsidP="00AA0BD1">
      <w:pPr>
        <w:spacing w:after="0" w:line="360" w:lineRule="auto"/>
        <w:rPr>
          <w:rFonts w:ascii="Cambria" w:eastAsia="Cambria" w:hAnsi="Cambria" w:cs="Cambria"/>
          <w:b/>
          <w:sz w:val="30"/>
          <w:szCs w:val="30"/>
          <w:lang w:val="id-ID"/>
        </w:rPr>
      </w:pPr>
      <w:r w:rsidRPr="00856FAB">
        <w:rPr>
          <w:rFonts w:ascii="Cambria" w:eastAsia="Cambria" w:hAnsi="Cambria" w:cs="Cambria"/>
          <w:b/>
          <w:sz w:val="30"/>
          <w:szCs w:val="30"/>
          <w:lang w:val="id-ID"/>
        </w:rPr>
        <w:t>Metodologi Penelitian</w:t>
      </w:r>
    </w:p>
    <w:p w14:paraId="712ABEDF" w14:textId="77777777" w:rsidR="00AA0BD1" w:rsidRPr="00AA0BD1" w:rsidRDefault="00AA0BD1" w:rsidP="00AA0BD1">
      <w:pPr>
        <w:pStyle w:val="NormalWeb"/>
        <w:spacing w:before="0" w:beforeAutospacing="0" w:after="0" w:afterAutospacing="0" w:line="360" w:lineRule="auto"/>
        <w:ind w:firstLine="720"/>
        <w:jc w:val="both"/>
        <w:rPr>
          <w:rFonts w:ascii="Cambria" w:hAnsi="Cambria"/>
        </w:rPr>
      </w:pPr>
      <w:r w:rsidRPr="00AA0BD1">
        <w:rPr>
          <w:rFonts w:ascii="Cambria" w:hAnsi="Cambria"/>
        </w:rPr>
        <w:t xml:space="preserve">Penelitian ini merupakan penelitian kuantitatif yang menggunakan data numerik dari laporan keuangan di BEI dan disajikan secara deskriptif melalui tabel dan grafik. Waktu penelitian dimulai pada Juni 2023 hingga Desember 2023 dengan data diperoleh dari situs resmi BEI, </w:t>
      </w:r>
      <w:hyperlink r:id="rId18" w:tgtFrame="_new" w:history="1">
        <w:r w:rsidRPr="00AA0BD1">
          <w:rPr>
            <w:rStyle w:val="Hyperlink"/>
            <w:rFonts w:ascii="Cambria" w:hAnsi="Cambria"/>
          </w:rPr>
          <w:t>www.idx.co.id</w:t>
        </w:r>
      </w:hyperlink>
      <w:r w:rsidRPr="00AA0BD1">
        <w:rPr>
          <w:rFonts w:ascii="Cambria" w:hAnsi="Cambria"/>
        </w:rPr>
        <w:t>. Populasi penelitian terdiri dari 43 perusahaan sektor perbankan yang terdaftar di BEI, dengan sampel sebanyak 10 bank yang terdaftar di BEI, menggunakan data dari tahun 2017 hingga 2021. Jenis data yang digunakan adalah data kuantitatif dari sumber sekunder, yakni laporan keuangan sektor perbankan yang terdaftar di BEI pada periode 2017-2021.</w:t>
      </w:r>
    </w:p>
    <w:p w14:paraId="38710525" w14:textId="77777777" w:rsidR="00616363" w:rsidRPr="00616363" w:rsidRDefault="00616363" w:rsidP="00AA0BD1">
      <w:pPr>
        <w:pStyle w:val="BodyText"/>
        <w:spacing w:before="0" w:beforeAutospacing="0" w:after="0" w:afterAutospacing="0" w:line="360" w:lineRule="auto"/>
        <w:rPr>
          <w:rFonts w:ascii="Cambria" w:hAnsi="Cambria"/>
        </w:rPr>
      </w:pPr>
      <w:r w:rsidRPr="00616363">
        <w:rPr>
          <w:rFonts w:ascii="Cambria" w:hAnsi="Cambria"/>
        </w:rPr>
        <w:t xml:space="preserve"> </w:t>
      </w:r>
    </w:p>
    <w:p w14:paraId="62DF318F" w14:textId="77777777" w:rsidR="00616363" w:rsidRPr="00616363" w:rsidRDefault="00616363" w:rsidP="00AA0BD1">
      <w:pPr>
        <w:pStyle w:val="Heading2"/>
        <w:keepNext w:val="0"/>
        <w:keepLines w:val="0"/>
        <w:widowControl w:val="0"/>
        <w:autoSpaceDE w:val="0"/>
        <w:autoSpaceDN w:val="0"/>
        <w:spacing w:before="0" w:after="0" w:line="360" w:lineRule="auto"/>
        <w:jc w:val="both"/>
        <w:rPr>
          <w:rFonts w:ascii="Cambria" w:hAnsi="Cambria"/>
          <w:sz w:val="24"/>
          <w:szCs w:val="24"/>
        </w:rPr>
      </w:pPr>
      <w:r w:rsidRPr="00616363">
        <w:rPr>
          <w:rFonts w:ascii="Cambria" w:hAnsi="Cambria"/>
          <w:sz w:val="24"/>
          <w:szCs w:val="24"/>
        </w:rPr>
        <w:t>Model Penelitian</w:t>
      </w:r>
    </w:p>
    <w:p w14:paraId="277D21FA" w14:textId="77777777" w:rsidR="00616363" w:rsidRPr="00616363" w:rsidRDefault="00616363" w:rsidP="00AA0BD1">
      <w:pPr>
        <w:widowControl w:val="0"/>
        <w:autoSpaceDE w:val="0"/>
        <w:autoSpaceDN w:val="0"/>
        <w:spacing w:after="0" w:line="360" w:lineRule="auto"/>
        <w:jc w:val="both"/>
        <w:rPr>
          <w:rFonts w:ascii="Cambria" w:hAnsi="Cambria"/>
          <w:b/>
          <w:sz w:val="24"/>
          <w:szCs w:val="24"/>
        </w:rPr>
      </w:pPr>
      <w:r w:rsidRPr="00616363">
        <w:rPr>
          <w:rFonts w:ascii="Cambria" w:hAnsi="Cambria"/>
          <w:b/>
          <w:sz w:val="24"/>
          <w:szCs w:val="24"/>
        </w:rPr>
        <w:t>Analisis Regresi Linier Berganda</w:t>
      </w:r>
    </w:p>
    <w:p w14:paraId="32D1973C" w14:textId="7191E160" w:rsidR="00616363" w:rsidRPr="00616363" w:rsidRDefault="00616363" w:rsidP="00AA0BD1">
      <w:pPr>
        <w:pStyle w:val="BodyText"/>
        <w:spacing w:before="0" w:beforeAutospacing="0" w:after="0" w:afterAutospacing="0" w:line="360" w:lineRule="auto"/>
        <w:ind w:firstLine="720"/>
        <w:jc w:val="both"/>
        <w:rPr>
          <w:rFonts w:ascii="Cambria" w:hAnsi="Cambria"/>
        </w:rPr>
      </w:pPr>
      <w:r w:rsidRPr="00616363">
        <w:rPr>
          <w:rFonts w:ascii="Cambria" w:hAnsi="Cambria"/>
        </w:rPr>
        <w:t>Analisis Regresi Linier Berganda adalah sebuah hubungan secara linier</w:t>
      </w:r>
      <w:r>
        <w:rPr>
          <w:rFonts w:ascii="Cambria" w:hAnsi="Cambria"/>
        </w:rPr>
        <w:t xml:space="preserve"> </w:t>
      </w:r>
      <w:r w:rsidRPr="00616363">
        <w:rPr>
          <w:rFonts w:ascii="Cambria" w:hAnsi="Cambria"/>
        </w:rPr>
        <w:t>yang terjadi antara dua atau bahkan lebih variabel independen (X) dengan variabel dependen</w:t>
      </w:r>
      <w:r>
        <w:rPr>
          <w:rFonts w:ascii="Cambria" w:hAnsi="Cambria"/>
        </w:rPr>
        <w:t xml:space="preserve"> </w:t>
      </w:r>
      <w:r w:rsidRPr="00616363">
        <w:rPr>
          <w:rFonts w:ascii="Cambria" w:hAnsi="Cambria"/>
        </w:rPr>
        <w:t>(Y). Dengan begitu, maka data yang akan digunakan biasanya merupakan data yang berskala interval atau rasio.</w:t>
      </w:r>
    </w:p>
    <w:p w14:paraId="4335E72F" w14:textId="77777777" w:rsidR="00616363" w:rsidRDefault="00616363" w:rsidP="00AA0BD1">
      <w:pPr>
        <w:pStyle w:val="Heading2"/>
        <w:keepNext w:val="0"/>
        <w:keepLines w:val="0"/>
        <w:widowControl w:val="0"/>
        <w:autoSpaceDE w:val="0"/>
        <w:autoSpaceDN w:val="0"/>
        <w:spacing w:before="0" w:after="0" w:line="360" w:lineRule="auto"/>
        <w:rPr>
          <w:rFonts w:ascii="Cambria" w:hAnsi="Cambria"/>
          <w:sz w:val="24"/>
          <w:szCs w:val="24"/>
          <w:lang w:val="id-ID"/>
        </w:rPr>
      </w:pPr>
    </w:p>
    <w:p w14:paraId="2DA39E8E" w14:textId="77777777" w:rsidR="00616363" w:rsidRPr="00616363" w:rsidRDefault="00616363" w:rsidP="00616363">
      <w:pPr>
        <w:pStyle w:val="Heading2"/>
        <w:keepNext w:val="0"/>
        <w:keepLines w:val="0"/>
        <w:widowControl w:val="0"/>
        <w:autoSpaceDE w:val="0"/>
        <w:autoSpaceDN w:val="0"/>
        <w:spacing w:before="0" w:after="0" w:line="240" w:lineRule="auto"/>
        <w:rPr>
          <w:rFonts w:ascii="Cambria" w:hAnsi="Cambria"/>
          <w:sz w:val="24"/>
          <w:szCs w:val="24"/>
        </w:rPr>
      </w:pPr>
      <w:r w:rsidRPr="00616363">
        <w:rPr>
          <w:rFonts w:ascii="Cambria" w:hAnsi="Cambria"/>
          <w:sz w:val="24"/>
          <w:szCs w:val="24"/>
        </w:rPr>
        <w:t>Teknik Analisis Data</w:t>
      </w:r>
    </w:p>
    <w:p w14:paraId="79068B8B" w14:textId="77777777" w:rsidR="00616363" w:rsidRPr="00616363" w:rsidRDefault="00616363" w:rsidP="00616363">
      <w:pPr>
        <w:widowControl w:val="0"/>
        <w:autoSpaceDE w:val="0"/>
        <w:autoSpaceDN w:val="0"/>
        <w:spacing w:after="0" w:line="240" w:lineRule="auto"/>
        <w:rPr>
          <w:rFonts w:ascii="Cambria" w:hAnsi="Cambria"/>
          <w:b/>
          <w:sz w:val="24"/>
          <w:szCs w:val="24"/>
        </w:rPr>
      </w:pPr>
      <w:r w:rsidRPr="00616363">
        <w:rPr>
          <w:rFonts w:ascii="Cambria" w:hAnsi="Cambria"/>
          <w:b/>
          <w:sz w:val="24"/>
          <w:szCs w:val="24"/>
        </w:rPr>
        <w:t>Statisktik Deskriptif</w:t>
      </w:r>
    </w:p>
    <w:p w14:paraId="0B244B29" w14:textId="77777777" w:rsidR="00616363" w:rsidRPr="00616363" w:rsidRDefault="00616363" w:rsidP="00616363">
      <w:pPr>
        <w:pStyle w:val="BodyText"/>
        <w:spacing w:before="0" w:beforeAutospacing="0" w:after="0" w:afterAutospacing="0" w:line="360" w:lineRule="auto"/>
        <w:ind w:firstLine="720"/>
        <w:jc w:val="both"/>
        <w:rPr>
          <w:rFonts w:ascii="Cambria" w:hAnsi="Cambria"/>
        </w:rPr>
      </w:pPr>
      <w:r w:rsidRPr="00616363">
        <w:rPr>
          <w:rFonts w:ascii="Cambria" w:hAnsi="Cambria"/>
        </w:rPr>
        <w:t>Statistik deskriptif merupakan analisis statistik yang memberikan gambaran secara umum mengenai karakteristik dari masing-masing variabel penelitian yang dilihat dari nilai rata-rata (mean), standar deviasi ,maximum, dan minimum. Dalam penelitian ini, pembahasan mengenai analisis statistik deskriptif dilakukan untuk data yang telah normal.</w:t>
      </w:r>
    </w:p>
    <w:p w14:paraId="0A641A85" w14:textId="77777777" w:rsidR="00616363" w:rsidRDefault="00616363" w:rsidP="00616363">
      <w:pPr>
        <w:spacing w:after="0"/>
        <w:rPr>
          <w:rFonts w:ascii="Cambria" w:hAnsi="Cambria"/>
          <w:sz w:val="24"/>
          <w:szCs w:val="24"/>
          <w:lang w:val="id-ID"/>
        </w:rPr>
      </w:pPr>
    </w:p>
    <w:p w14:paraId="6A4A5AC3" w14:textId="77777777" w:rsidR="00AA0BD1" w:rsidRPr="00616363" w:rsidRDefault="00AA0BD1" w:rsidP="00AA0BD1">
      <w:pPr>
        <w:pStyle w:val="Heading2"/>
        <w:keepNext w:val="0"/>
        <w:keepLines w:val="0"/>
        <w:widowControl w:val="0"/>
        <w:autoSpaceDE w:val="0"/>
        <w:autoSpaceDN w:val="0"/>
        <w:spacing w:before="0" w:after="0" w:line="240" w:lineRule="auto"/>
        <w:jc w:val="both"/>
        <w:rPr>
          <w:rFonts w:ascii="Cambria" w:hAnsi="Cambria"/>
          <w:sz w:val="24"/>
          <w:szCs w:val="24"/>
        </w:rPr>
      </w:pPr>
      <w:r w:rsidRPr="00616363">
        <w:rPr>
          <w:rFonts w:ascii="Cambria" w:hAnsi="Cambria"/>
          <w:sz w:val="24"/>
          <w:szCs w:val="24"/>
        </w:rPr>
        <w:t>Uji Asumsi Klasik</w:t>
      </w:r>
    </w:p>
    <w:p w14:paraId="4188E8F2" w14:textId="77777777" w:rsidR="00AA0BD1" w:rsidRPr="00616363" w:rsidRDefault="00AA0BD1" w:rsidP="00AA0BD1">
      <w:pPr>
        <w:widowControl w:val="0"/>
        <w:autoSpaceDE w:val="0"/>
        <w:autoSpaceDN w:val="0"/>
        <w:spacing w:after="0" w:line="240" w:lineRule="auto"/>
        <w:jc w:val="both"/>
        <w:rPr>
          <w:rFonts w:ascii="Cambria" w:hAnsi="Cambria"/>
          <w:b/>
          <w:sz w:val="24"/>
          <w:szCs w:val="24"/>
        </w:rPr>
      </w:pPr>
      <w:r w:rsidRPr="00616363">
        <w:rPr>
          <w:rFonts w:ascii="Cambria" w:hAnsi="Cambria"/>
          <w:b/>
          <w:sz w:val="24"/>
          <w:szCs w:val="24"/>
        </w:rPr>
        <w:t>Uji Normalitas</w:t>
      </w:r>
    </w:p>
    <w:p w14:paraId="3C5D5A4A" w14:textId="77777777" w:rsidR="00AA0BD1" w:rsidRPr="00616363" w:rsidRDefault="00AA0BD1" w:rsidP="00AA0BD1">
      <w:pPr>
        <w:pStyle w:val="BodyText"/>
        <w:spacing w:before="0" w:beforeAutospacing="0" w:after="0" w:afterAutospacing="0" w:line="379" w:lineRule="auto"/>
        <w:ind w:firstLine="720"/>
        <w:jc w:val="both"/>
        <w:rPr>
          <w:rFonts w:ascii="Cambria" w:hAnsi="Cambria"/>
        </w:rPr>
      </w:pPr>
      <w:r w:rsidRPr="00616363">
        <w:rPr>
          <w:rFonts w:ascii="Cambria" w:hAnsi="Cambria"/>
        </w:rPr>
        <w:t xml:space="preserve">Uji Normalitas merupakan sebuah uji yang dilakukan dengan tujuan untuk menilai sebaran data pada sebuah kelompok data atau variabel, apakah sebaran data tersebut berdistribusi normal ataukah tidak. Uji normalitas dengan Skewness dan Kurtosis dapat dilihat dengan menghitung nilai Zskewness dan Zkurtosis. Zskewness dapat dihitung dari nilai Skewness / SE Skewness. Begitu pula nilai Zkurtosis dapat dihitung dari nilai </w:t>
      </w:r>
      <w:r w:rsidRPr="00616363">
        <w:rPr>
          <w:rFonts w:ascii="Cambria" w:hAnsi="Cambria"/>
        </w:rPr>
        <w:lastRenderedPageBreak/>
        <w:t>Kurtosis/ SEKurtosis. Batas toleransi Zskewness dan Zkurtosis yang masih dianggap normal adalah</w:t>
      </w:r>
      <w:r>
        <w:rPr>
          <w:rFonts w:ascii="Cambria" w:hAnsi="Cambria"/>
        </w:rPr>
        <w:t xml:space="preserve"> </w:t>
      </w:r>
      <w:r w:rsidRPr="00616363">
        <w:rPr>
          <w:rFonts w:ascii="Cambria" w:hAnsi="Cambria"/>
        </w:rPr>
        <w:t>antara -1,96 sd 1,96 (sering dibulatkan -2 sd 2).</w:t>
      </w:r>
    </w:p>
    <w:p w14:paraId="645DA292" w14:textId="77777777" w:rsidR="00AA0BD1" w:rsidRPr="00616363" w:rsidRDefault="00AA0BD1" w:rsidP="00AA0BD1">
      <w:pPr>
        <w:pStyle w:val="BodyText"/>
        <w:spacing w:before="0" w:beforeAutospacing="0" w:after="0" w:afterAutospacing="0"/>
        <w:rPr>
          <w:rFonts w:ascii="Cambria" w:hAnsi="Cambria"/>
        </w:rPr>
      </w:pPr>
      <w:r w:rsidRPr="00616363">
        <w:rPr>
          <w:rFonts w:ascii="Cambria" w:hAnsi="Cambria"/>
        </w:rPr>
        <w:t xml:space="preserve"> </w:t>
      </w:r>
    </w:p>
    <w:p w14:paraId="7732A522" w14:textId="77777777" w:rsidR="00AA0BD1" w:rsidRPr="00616363" w:rsidRDefault="00AA0BD1" w:rsidP="00AA0BD1">
      <w:pPr>
        <w:pStyle w:val="Heading2"/>
        <w:keepNext w:val="0"/>
        <w:keepLines w:val="0"/>
        <w:widowControl w:val="0"/>
        <w:autoSpaceDE w:val="0"/>
        <w:autoSpaceDN w:val="0"/>
        <w:spacing w:before="0" w:after="0" w:line="240" w:lineRule="auto"/>
        <w:jc w:val="both"/>
        <w:rPr>
          <w:rFonts w:ascii="Cambria" w:hAnsi="Cambria"/>
          <w:sz w:val="24"/>
          <w:szCs w:val="24"/>
        </w:rPr>
      </w:pPr>
      <w:r w:rsidRPr="00616363">
        <w:rPr>
          <w:rFonts w:ascii="Cambria" w:hAnsi="Cambria"/>
          <w:sz w:val="24"/>
          <w:szCs w:val="24"/>
        </w:rPr>
        <w:t>Uji Multikolinearitas</w:t>
      </w:r>
    </w:p>
    <w:p w14:paraId="6CF61158" w14:textId="77777777" w:rsidR="00AA0BD1" w:rsidRDefault="00AA0BD1" w:rsidP="00AA0BD1">
      <w:pPr>
        <w:pStyle w:val="BodyText"/>
        <w:spacing w:before="0" w:beforeAutospacing="0" w:after="0" w:afterAutospacing="0" w:line="360" w:lineRule="auto"/>
        <w:ind w:firstLine="720"/>
        <w:jc w:val="both"/>
        <w:rPr>
          <w:rFonts w:ascii="Cambria" w:hAnsi="Cambria"/>
        </w:rPr>
      </w:pPr>
      <w:r w:rsidRPr="00616363">
        <w:rPr>
          <w:rFonts w:ascii="Cambria" w:hAnsi="Cambria"/>
        </w:rPr>
        <w:t>Uji multikolinearitas bertujuan untuk mengaji apakah model regresi terbentuk adanya. Uji multikolinearitas digunakan besaran, yaitu VIF (Variance Inflation Factor) atau faktor inflasi ragam. VIF digunakan sebagai kriteria untuk mendeteksi multikolinearitas pada regresi linier yang melibatkan lebih dari dua variabel bebas. apabila nilai VIF &gt; 10 atau jika tolerance value &lt; 0.1 maka terjadi multikolinearitas. Namun, apabila nilai VIF &lt; 10 atau jika tolerance value &gt; 0.1 maka tidak terjadi multikolinearitas.</w:t>
      </w:r>
    </w:p>
    <w:p w14:paraId="66FDDF0E" w14:textId="77777777" w:rsidR="00AA0BD1" w:rsidRPr="00616363" w:rsidRDefault="00AA0BD1" w:rsidP="00AA0BD1">
      <w:pPr>
        <w:pStyle w:val="Heading2"/>
        <w:keepNext w:val="0"/>
        <w:keepLines w:val="0"/>
        <w:widowControl w:val="0"/>
        <w:autoSpaceDE w:val="0"/>
        <w:autoSpaceDN w:val="0"/>
        <w:spacing w:before="0" w:after="0" w:line="240" w:lineRule="auto"/>
        <w:jc w:val="both"/>
        <w:rPr>
          <w:rFonts w:ascii="Cambria" w:hAnsi="Cambria"/>
          <w:sz w:val="24"/>
          <w:szCs w:val="24"/>
        </w:rPr>
      </w:pPr>
      <w:r w:rsidRPr="00616363">
        <w:rPr>
          <w:rFonts w:ascii="Cambria" w:hAnsi="Cambria"/>
          <w:sz w:val="24"/>
          <w:szCs w:val="24"/>
        </w:rPr>
        <w:t>Uji Asumsi Klasik</w:t>
      </w:r>
    </w:p>
    <w:p w14:paraId="3463176B" w14:textId="77777777" w:rsidR="00AA0BD1" w:rsidRPr="00616363" w:rsidRDefault="00AA0BD1" w:rsidP="00AA0BD1">
      <w:pPr>
        <w:widowControl w:val="0"/>
        <w:autoSpaceDE w:val="0"/>
        <w:autoSpaceDN w:val="0"/>
        <w:spacing w:after="0" w:line="240" w:lineRule="auto"/>
        <w:jc w:val="both"/>
        <w:rPr>
          <w:rFonts w:ascii="Cambria" w:hAnsi="Cambria"/>
          <w:b/>
          <w:sz w:val="24"/>
          <w:szCs w:val="24"/>
        </w:rPr>
      </w:pPr>
      <w:r w:rsidRPr="00616363">
        <w:rPr>
          <w:rFonts w:ascii="Cambria" w:hAnsi="Cambria"/>
          <w:b/>
          <w:sz w:val="24"/>
          <w:szCs w:val="24"/>
        </w:rPr>
        <w:t>Uji Normalitas</w:t>
      </w:r>
    </w:p>
    <w:p w14:paraId="58863CF6" w14:textId="77777777" w:rsidR="00AA0BD1" w:rsidRPr="00616363" w:rsidRDefault="00AA0BD1" w:rsidP="00AA0BD1">
      <w:pPr>
        <w:pStyle w:val="BodyText"/>
        <w:spacing w:before="0" w:beforeAutospacing="0" w:after="0" w:afterAutospacing="0" w:line="379" w:lineRule="auto"/>
        <w:ind w:firstLine="720"/>
        <w:jc w:val="both"/>
        <w:rPr>
          <w:rFonts w:ascii="Cambria" w:hAnsi="Cambria"/>
        </w:rPr>
      </w:pPr>
      <w:r w:rsidRPr="00616363">
        <w:rPr>
          <w:rFonts w:ascii="Cambria" w:hAnsi="Cambria"/>
        </w:rPr>
        <w:t>Uji Normalitas merupakan sebuah uji yang dilakukan dengan tujuan untuk menilai sebaran data pada sebuah kelompok data atau variabel, apakah sebaran data tersebut berdistribusi normal ataukah tidak. Uji normalitas dengan Skewness dan Kurtosis dapat dilihat dengan menghitung nilai Zskewness dan Zkurtosis. Zskewness dapat dihitung dari nilai Skewness / SE Skewness. Begitu pula nilai Zkurtosis dapat dihitung dari nilai Kurtosis/ SEKurtosis. Batas toleransi Zskewness dan Zkurtosis yang masih dianggap normal adalah</w:t>
      </w:r>
      <w:r>
        <w:rPr>
          <w:rFonts w:ascii="Cambria" w:hAnsi="Cambria"/>
        </w:rPr>
        <w:t xml:space="preserve"> </w:t>
      </w:r>
      <w:r w:rsidRPr="00616363">
        <w:rPr>
          <w:rFonts w:ascii="Cambria" w:hAnsi="Cambria"/>
        </w:rPr>
        <w:t>antara -1,96 sd 1,96 (sering dibulatkan -2 sd 2).</w:t>
      </w:r>
    </w:p>
    <w:p w14:paraId="30DD8215" w14:textId="77777777" w:rsidR="00AA0BD1" w:rsidRPr="00616363" w:rsidRDefault="00AA0BD1" w:rsidP="00AA0BD1">
      <w:pPr>
        <w:pStyle w:val="BodyText"/>
        <w:spacing w:before="0" w:beforeAutospacing="0" w:after="0" w:afterAutospacing="0"/>
        <w:rPr>
          <w:rFonts w:ascii="Cambria" w:hAnsi="Cambria"/>
        </w:rPr>
      </w:pPr>
      <w:r w:rsidRPr="00616363">
        <w:rPr>
          <w:rFonts w:ascii="Cambria" w:hAnsi="Cambria"/>
        </w:rPr>
        <w:t xml:space="preserve"> </w:t>
      </w:r>
    </w:p>
    <w:p w14:paraId="3CD43BDE" w14:textId="77777777" w:rsidR="00AA0BD1" w:rsidRPr="00616363" w:rsidRDefault="00AA0BD1" w:rsidP="00AA0BD1">
      <w:pPr>
        <w:pStyle w:val="Heading2"/>
        <w:keepNext w:val="0"/>
        <w:keepLines w:val="0"/>
        <w:widowControl w:val="0"/>
        <w:autoSpaceDE w:val="0"/>
        <w:autoSpaceDN w:val="0"/>
        <w:spacing w:before="0" w:after="0" w:line="240" w:lineRule="auto"/>
        <w:jc w:val="both"/>
        <w:rPr>
          <w:rFonts w:ascii="Cambria" w:hAnsi="Cambria"/>
          <w:sz w:val="24"/>
          <w:szCs w:val="24"/>
        </w:rPr>
      </w:pPr>
      <w:r w:rsidRPr="00616363">
        <w:rPr>
          <w:rFonts w:ascii="Cambria" w:hAnsi="Cambria"/>
          <w:sz w:val="24"/>
          <w:szCs w:val="24"/>
        </w:rPr>
        <w:t>Uji Multikolinearitas</w:t>
      </w:r>
    </w:p>
    <w:p w14:paraId="35097E21" w14:textId="77777777" w:rsidR="00AA0BD1" w:rsidRPr="00616363" w:rsidRDefault="00AA0BD1" w:rsidP="00AA0BD1">
      <w:pPr>
        <w:pStyle w:val="BodyText"/>
        <w:spacing w:before="0" w:beforeAutospacing="0" w:after="0" w:afterAutospacing="0" w:line="360" w:lineRule="auto"/>
        <w:ind w:firstLine="720"/>
        <w:jc w:val="both"/>
        <w:rPr>
          <w:rFonts w:ascii="Cambria" w:hAnsi="Cambria"/>
        </w:rPr>
      </w:pPr>
      <w:r w:rsidRPr="00616363">
        <w:rPr>
          <w:rFonts w:ascii="Cambria" w:hAnsi="Cambria"/>
        </w:rPr>
        <w:t>Uji multikolinearitas bertujuan untuk mengaji apakah model regresi terbentuk adanya. Uji multikolinearitas digunakan besaran, yaitu VIF (Variance Inflation Factor) atau faktor inflasi ragam. VIF digunakan sebagai kriteria untuk mendeteksi multikolinearitas pada regresi linier yang melibatkan lebih dari dua variabel bebas. apabila nilai VIF &gt; 10 atau jika tolerance value &lt; 0.1 maka terjadi multikolinearitas. Namun, apabila nilai VIF &lt; 10 atau jika tolerance value &gt; 0.1 maka tidak terjadi multikolinearitas.</w:t>
      </w:r>
    </w:p>
    <w:p w14:paraId="48388098" w14:textId="77777777" w:rsidR="00AA0BD1" w:rsidRPr="00616363" w:rsidRDefault="00AA0BD1" w:rsidP="00AA0BD1">
      <w:pPr>
        <w:pStyle w:val="BodyText"/>
        <w:spacing w:before="0" w:beforeAutospacing="0" w:after="0" w:afterAutospacing="0"/>
        <w:rPr>
          <w:rFonts w:ascii="Cambria" w:hAnsi="Cambria"/>
        </w:rPr>
      </w:pPr>
      <w:r w:rsidRPr="00616363">
        <w:rPr>
          <w:rFonts w:ascii="Cambria" w:hAnsi="Cambria"/>
        </w:rPr>
        <w:t xml:space="preserve"> </w:t>
      </w:r>
    </w:p>
    <w:p w14:paraId="3AAA216F" w14:textId="77777777" w:rsidR="00AA0BD1" w:rsidRPr="00616363" w:rsidRDefault="00AA0BD1" w:rsidP="00AA0BD1">
      <w:pPr>
        <w:pStyle w:val="Heading2"/>
        <w:keepNext w:val="0"/>
        <w:keepLines w:val="0"/>
        <w:widowControl w:val="0"/>
        <w:autoSpaceDE w:val="0"/>
        <w:autoSpaceDN w:val="0"/>
        <w:spacing w:before="0" w:after="0" w:line="240" w:lineRule="auto"/>
        <w:jc w:val="both"/>
        <w:rPr>
          <w:rFonts w:ascii="Cambria" w:hAnsi="Cambria"/>
          <w:sz w:val="24"/>
          <w:szCs w:val="24"/>
        </w:rPr>
      </w:pPr>
      <w:r w:rsidRPr="00616363">
        <w:rPr>
          <w:rFonts w:ascii="Cambria" w:hAnsi="Cambria"/>
          <w:sz w:val="24"/>
          <w:szCs w:val="24"/>
        </w:rPr>
        <w:t>Uji Heterokedastisitas</w:t>
      </w:r>
    </w:p>
    <w:p w14:paraId="2BD16D7A" w14:textId="77777777" w:rsidR="00AA0BD1" w:rsidRDefault="00AA0BD1" w:rsidP="00AA0BD1">
      <w:pPr>
        <w:pStyle w:val="BodyText"/>
        <w:spacing w:before="0" w:beforeAutospacing="0" w:after="0" w:afterAutospacing="0" w:line="360" w:lineRule="auto"/>
        <w:ind w:firstLine="720"/>
        <w:jc w:val="both"/>
        <w:rPr>
          <w:rFonts w:ascii="Cambria" w:hAnsi="Cambria"/>
        </w:rPr>
      </w:pPr>
      <w:r w:rsidRPr="00616363">
        <w:rPr>
          <w:rFonts w:ascii="Cambria" w:hAnsi="Cambria"/>
        </w:rPr>
        <w:t xml:space="preserve">Uji heterokedastisitas digunakan untuk mengetahui ada atau tidaknya penyimpangan asumsi klasik. Heterokedastisitas yaitu adanya ketidaksamaan varian dan residual untuk sermus pengamatan pada model regresi. Prasyarat yang harus terpenuhi dalam model regress adalah tidak adanya gejala heterokedastisitas. Jika nilai probabilitas </w:t>
      </w:r>
      <w:r w:rsidRPr="00616363">
        <w:rPr>
          <w:rFonts w:ascii="Cambria" w:hAnsi="Cambria"/>
        </w:rPr>
        <w:lastRenderedPageBreak/>
        <w:t>0,05 maka terjadi gejala heterokedastisitas dalam model penelitian sedangkan nilai probabilitas 0,05 maka tidak terjadi gejala heterokedastisitas dalam model penelitian.</w:t>
      </w:r>
    </w:p>
    <w:p w14:paraId="11CF5DCA" w14:textId="77777777" w:rsidR="00AA0BD1" w:rsidRPr="00616363" w:rsidRDefault="00AA0BD1" w:rsidP="00AA0BD1">
      <w:pPr>
        <w:pStyle w:val="Heading2"/>
        <w:keepNext w:val="0"/>
        <w:keepLines w:val="0"/>
        <w:widowControl w:val="0"/>
        <w:autoSpaceDE w:val="0"/>
        <w:autoSpaceDN w:val="0"/>
        <w:spacing w:before="0" w:after="0" w:line="240" w:lineRule="auto"/>
        <w:jc w:val="both"/>
        <w:rPr>
          <w:rFonts w:ascii="Cambria" w:hAnsi="Cambria"/>
          <w:sz w:val="24"/>
          <w:szCs w:val="24"/>
        </w:rPr>
      </w:pPr>
      <w:r w:rsidRPr="00616363">
        <w:rPr>
          <w:rFonts w:ascii="Cambria" w:hAnsi="Cambria"/>
          <w:sz w:val="24"/>
          <w:szCs w:val="24"/>
        </w:rPr>
        <w:t>Uji Autokolerasi</w:t>
      </w:r>
    </w:p>
    <w:p w14:paraId="5B4DCE72" w14:textId="77777777" w:rsidR="00AA0BD1" w:rsidRPr="00616363" w:rsidRDefault="00AA0BD1" w:rsidP="00AA0BD1">
      <w:pPr>
        <w:pStyle w:val="BodyText"/>
        <w:spacing w:before="0" w:beforeAutospacing="0" w:after="0" w:afterAutospacing="0" w:line="360" w:lineRule="auto"/>
        <w:ind w:firstLine="720"/>
        <w:jc w:val="both"/>
        <w:rPr>
          <w:rFonts w:ascii="Cambria" w:hAnsi="Cambria"/>
        </w:rPr>
      </w:pPr>
      <w:r w:rsidRPr="00616363">
        <w:rPr>
          <w:rFonts w:ascii="Cambria" w:hAnsi="Cambria"/>
        </w:rPr>
        <w:t>Uji Metode pengujian yang sering digunakan dalam penelitian kuantitatif menggunakan uji durbin-watson (uji DW) memakai ketentuan atau dasar pengambilan keputusan sebagai berikut:</w:t>
      </w:r>
    </w:p>
    <w:p w14:paraId="52F5D0DE" w14:textId="77777777" w:rsidR="00AA0BD1" w:rsidRPr="00616363" w:rsidRDefault="00AA0BD1" w:rsidP="00AA0BD1">
      <w:pPr>
        <w:pStyle w:val="ListParagraph"/>
        <w:widowControl w:val="0"/>
        <w:numPr>
          <w:ilvl w:val="1"/>
          <w:numId w:val="12"/>
        </w:numPr>
        <w:autoSpaceDE w:val="0"/>
        <w:autoSpaceDN w:val="0"/>
        <w:spacing w:after="0" w:line="360" w:lineRule="auto"/>
        <w:contextualSpacing w:val="0"/>
        <w:rPr>
          <w:rFonts w:ascii="Cambria" w:hAnsi="Cambria"/>
          <w:color w:val="49464A"/>
          <w:sz w:val="24"/>
          <w:szCs w:val="24"/>
        </w:rPr>
      </w:pPr>
      <w:r w:rsidRPr="00616363">
        <w:rPr>
          <w:rFonts w:ascii="Cambria" w:hAnsi="Cambria"/>
          <w:sz w:val="24"/>
          <w:szCs w:val="24"/>
        </w:rPr>
        <w:t>Pertama menentukan hipotesa uji, yaitu hipotesis nol (H0) yaitu tidak ada autokorelasi dan hipotesis</w:t>
      </w:r>
      <w:r w:rsidRPr="00616363">
        <w:rPr>
          <w:rFonts w:ascii="Cambria" w:hAnsi="Cambria"/>
          <w:sz w:val="24"/>
          <w:szCs w:val="24"/>
        </w:rPr>
        <w:tab/>
        <w:t>alternatif (H1) ada autokorelasi.</w:t>
      </w:r>
    </w:p>
    <w:p w14:paraId="3B5AAC3D" w14:textId="77777777" w:rsidR="00AA0BD1" w:rsidRPr="00616363" w:rsidRDefault="00AA0BD1" w:rsidP="00AA0BD1">
      <w:pPr>
        <w:pStyle w:val="ListParagraph"/>
        <w:widowControl w:val="0"/>
        <w:numPr>
          <w:ilvl w:val="1"/>
          <w:numId w:val="12"/>
        </w:numPr>
        <w:autoSpaceDE w:val="0"/>
        <w:autoSpaceDN w:val="0"/>
        <w:spacing w:after="0" w:line="355" w:lineRule="auto"/>
        <w:contextualSpacing w:val="0"/>
        <w:rPr>
          <w:rFonts w:ascii="Cambria" w:hAnsi="Cambria"/>
          <w:color w:val="49464A"/>
          <w:sz w:val="24"/>
          <w:szCs w:val="24"/>
        </w:rPr>
      </w:pPr>
      <w:r w:rsidRPr="00616363">
        <w:rPr>
          <w:rFonts w:ascii="Cambria" w:hAnsi="Cambria"/>
          <w:sz w:val="24"/>
          <w:szCs w:val="24"/>
        </w:rPr>
        <w:t>Jika nilai d (durbin watson) lebih kecil dari dL atau lebih besar dari (4-dL) maka hipotesis nol ditolak, yang berarti ada autokorelasi.</w:t>
      </w:r>
    </w:p>
    <w:p w14:paraId="208E86F7" w14:textId="77777777" w:rsidR="00AA0BD1" w:rsidRPr="00616363" w:rsidRDefault="00AA0BD1" w:rsidP="00AA0BD1">
      <w:pPr>
        <w:pStyle w:val="ListParagraph"/>
        <w:widowControl w:val="0"/>
        <w:numPr>
          <w:ilvl w:val="1"/>
          <w:numId w:val="12"/>
        </w:numPr>
        <w:autoSpaceDE w:val="0"/>
        <w:autoSpaceDN w:val="0"/>
        <w:spacing w:after="0" w:line="355" w:lineRule="auto"/>
        <w:contextualSpacing w:val="0"/>
        <w:rPr>
          <w:rFonts w:ascii="Cambria" w:hAnsi="Cambria"/>
          <w:color w:val="49464A"/>
          <w:sz w:val="24"/>
          <w:szCs w:val="24"/>
        </w:rPr>
      </w:pPr>
      <w:r w:rsidRPr="00616363">
        <w:rPr>
          <w:rFonts w:ascii="Cambria" w:hAnsi="Cambria"/>
          <w:sz w:val="24"/>
          <w:szCs w:val="24"/>
        </w:rPr>
        <w:t>Jika nilai d (durbin watson) terletak antara dU dan (4-dU), maka hipotesis nol diterima, yang berarti tidak ada autokorelasi.</w:t>
      </w:r>
    </w:p>
    <w:p w14:paraId="16DC6D4D" w14:textId="77777777" w:rsidR="00AA0BD1" w:rsidRPr="00616363" w:rsidRDefault="00AA0BD1" w:rsidP="00AA0BD1">
      <w:pPr>
        <w:pStyle w:val="ListParagraph"/>
        <w:widowControl w:val="0"/>
        <w:numPr>
          <w:ilvl w:val="1"/>
          <w:numId w:val="12"/>
        </w:numPr>
        <w:autoSpaceDE w:val="0"/>
        <w:autoSpaceDN w:val="0"/>
        <w:spacing w:after="0" w:line="355" w:lineRule="auto"/>
        <w:contextualSpacing w:val="0"/>
        <w:jc w:val="both"/>
        <w:rPr>
          <w:rFonts w:ascii="Cambria" w:hAnsi="Cambria"/>
          <w:color w:val="49464A"/>
          <w:sz w:val="24"/>
          <w:szCs w:val="24"/>
        </w:rPr>
      </w:pPr>
      <w:r w:rsidRPr="00616363">
        <w:rPr>
          <w:rFonts w:ascii="Cambria" w:hAnsi="Cambria"/>
          <w:sz w:val="24"/>
          <w:szCs w:val="24"/>
        </w:rPr>
        <w:t>Jika nilai d (durbin watson) terletak antara dL dan dU atau diantara (4-dU) dan (4-dL), maka tidak menghasilkan kesimpulan yang pasti.</w:t>
      </w:r>
    </w:p>
    <w:p w14:paraId="2159E5F6" w14:textId="77777777" w:rsidR="00AA0BD1" w:rsidRPr="00616363" w:rsidRDefault="00AA0BD1" w:rsidP="00AA0BD1">
      <w:pPr>
        <w:pStyle w:val="ListParagraph"/>
        <w:widowControl w:val="0"/>
        <w:numPr>
          <w:ilvl w:val="1"/>
          <w:numId w:val="12"/>
        </w:numPr>
        <w:autoSpaceDE w:val="0"/>
        <w:autoSpaceDN w:val="0"/>
        <w:spacing w:after="0" w:line="355" w:lineRule="auto"/>
        <w:contextualSpacing w:val="0"/>
        <w:jc w:val="both"/>
        <w:rPr>
          <w:rFonts w:ascii="Cambria" w:hAnsi="Cambria"/>
          <w:color w:val="49464A"/>
          <w:sz w:val="24"/>
          <w:szCs w:val="24"/>
        </w:rPr>
      </w:pPr>
    </w:p>
    <w:p w14:paraId="10D7D0AF" w14:textId="77777777" w:rsidR="00AA0BD1" w:rsidRPr="00616363" w:rsidRDefault="00AA0BD1" w:rsidP="00AA0BD1">
      <w:pPr>
        <w:pStyle w:val="Heading2"/>
        <w:keepNext w:val="0"/>
        <w:keepLines w:val="0"/>
        <w:widowControl w:val="0"/>
        <w:autoSpaceDE w:val="0"/>
        <w:autoSpaceDN w:val="0"/>
        <w:spacing w:before="0" w:after="0" w:line="240" w:lineRule="auto"/>
        <w:jc w:val="both"/>
        <w:rPr>
          <w:rFonts w:ascii="Cambria" w:hAnsi="Cambria"/>
          <w:sz w:val="24"/>
          <w:szCs w:val="24"/>
        </w:rPr>
      </w:pPr>
      <w:r w:rsidRPr="00616363">
        <w:rPr>
          <w:rFonts w:ascii="Cambria" w:hAnsi="Cambria"/>
          <w:sz w:val="24"/>
          <w:szCs w:val="24"/>
        </w:rPr>
        <w:t>Koefisien Determinasi</w:t>
      </w:r>
    </w:p>
    <w:p w14:paraId="6AF9F23F" w14:textId="2BAFB13C" w:rsidR="00AA0BD1" w:rsidRDefault="00AA0BD1" w:rsidP="00AA0BD1">
      <w:pPr>
        <w:pStyle w:val="BodyText"/>
        <w:spacing w:before="0" w:beforeAutospacing="0" w:after="0" w:afterAutospacing="0" w:line="360" w:lineRule="auto"/>
        <w:ind w:firstLine="720"/>
        <w:jc w:val="both"/>
        <w:rPr>
          <w:rFonts w:ascii="Cambria" w:hAnsi="Cambria"/>
        </w:rPr>
      </w:pPr>
      <w:r w:rsidRPr="00616363">
        <w:rPr>
          <w:rFonts w:ascii="Cambria" w:hAnsi="Cambria"/>
        </w:rPr>
        <w:t>R square merupakan suatu nilai yang memperlihatkan seberapa besar variabel independen (eksogen) mempengaruhi variabel dependen (endogen). R squared merupakan angka yang berkisar antara 0 sampai 1 yang mengindikasikan besarnya kombinasi variabel independen secara bersama – sama mempengaruhi nilai variabel dependen. R square disebut juga sebagai koefisien determinasi yang menjelaskan seberapa jauh data dependen dapat dijelaskan oleh data independen. R square bernilai antar 0 – 1 dengan ketentuan semakin mendekati angka satu berarti semakin baik. Jika r square bernilai 0.6, berarti 60% sebaran variabel dependen dapat dijelaskan oleh variabel independen. Sisanya 40% tidak dapat dijelaskan oleh variabel independen atau dapat dijelaskan oleh variabel diluar variabel independen (komponen error). Jika nilai r – square kecil, artinya komponen error yang besar</w:t>
      </w:r>
      <w:r w:rsidR="002C021E">
        <w:rPr>
          <w:rFonts w:ascii="Cambria" w:hAnsi="Cambria"/>
        </w:rPr>
        <w:t>.</w:t>
      </w:r>
    </w:p>
    <w:p w14:paraId="0E2F0984" w14:textId="77777777" w:rsidR="002C021E" w:rsidRPr="00616363" w:rsidRDefault="002C021E" w:rsidP="002C021E">
      <w:pPr>
        <w:pStyle w:val="Heading2"/>
        <w:keepNext w:val="0"/>
        <w:keepLines w:val="0"/>
        <w:widowControl w:val="0"/>
        <w:autoSpaceDE w:val="0"/>
        <w:autoSpaceDN w:val="0"/>
        <w:spacing w:before="0" w:after="0" w:line="240" w:lineRule="auto"/>
        <w:jc w:val="both"/>
        <w:rPr>
          <w:rFonts w:ascii="Cambria" w:hAnsi="Cambria"/>
          <w:sz w:val="24"/>
          <w:szCs w:val="24"/>
        </w:rPr>
      </w:pPr>
      <w:r w:rsidRPr="00616363">
        <w:rPr>
          <w:rFonts w:ascii="Cambria" w:hAnsi="Cambria"/>
          <w:sz w:val="24"/>
          <w:szCs w:val="24"/>
        </w:rPr>
        <w:t>Uji Hipotesis Penelitian</w:t>
      </w:r>
    </w:p>
    <w:p w14:paraId="3D8CC1B4" w14:textId="77777777" w:rsidR="002C021E" w:rsidRPr="00616363" w:rsidRDefault="002C021E" w:rsidP="002C021E">
      <w:pPr>
        <w:widowControl w:val="0"/>
        <w:autoSpaceDE w:val="0"/>
        <w:autoSpaceDN w:val="0"/>
        <w:spacing w:after="0" w:line="240" w:lineRule="auto"/>
        <w:jc w:val="both"/>
        <w:rPr>
          <w:rFonts w:ascii="Cambria" w:hAnsi="Cambria"/>
          <w:b/>
          <w:sz w:val="24"/>
          <w:szCs w:val="24"/>
        </w:rPr>
      </w:pPr>
      <w:r w:rsidRPr="00616363">
        <w:rPr>
          <w:rFonts w:ascii="Cambria" w:hAnsi="Cambria"/>
          <w:b/>
          <w:sz w:val="24"/>
          <w:szCs w:val="24"/>
        </w:rPr>
        <w:t>Uji Simultan (F)</w:t>
      </w:r>
    </w:p>
    <w:p w14:paraId="5BEFEB6F" w14:textId="77777777" w:rsidR="002C021E" w:rsidRPr="00616363" w:rsidRDefault="002C021E" w:rsidP="002C021E">
      <w:pPr>
        <w:pStyle w:val="BodyText"/>
        <w:spacing w:before="0" w:beforeAutospacing="0" w:after="0" w:afterAutospacing="0" w:line="372" w:lineRule="auto"/>
        <w:ind w:firstLine="720"/>
        <w:jc w:val="both"/>
        <w:rPr>
          <w:rFonts w:ascii="Cambria" w:hAnsi="Cambria"/>
        </w:rPr>
      </w:pPr>
      <w:r w:rsidRPr="00616363">
        <w:rPr>
          <w:rFonts w:ascii="Cambria" w:hAnsi="Cambria"/>
        </w:rPr>
        <w:t xml:space="preserve">Uji F atau uji simultan ini pada dasarnya dilakukan untuk mengetahui apakah semua variabel bebas yang dimasukkan dalam model mempunyai pengaruh secara bersama-sama terhadap variabel dependen. Cara yang digunakan ialah dengan melihat besarnya nilai </w:t>
      </w:r>
      <w:r w:rsidRPr="00616363">
        <w:rPr>
          <w:rFonts w:ascii="Cambria" w:hAnsi="Cambria"/>
        </w:rPr>
        <w:lastRenderedPageBreak/>
        <w:t>probabilitas signifikan-nya. Menurut Imam Ghozali (2018:115), Apabila nilai probabilitas signifikannya &lt; 5% maka variabel independen atau variabel bebas akan berpengaruh signifikan secara bersama-sama terhadap variabel terikat. Adapun dasar pengambilan kesimpulan pada uji F ialah sebagai berikut:</w:t>
      </w:r>
    </w:p>
    <w:p w14:paraId="1E27E162" w14:textId="77777777" w:rsidR="002C021E" w:rsidRPr="00616363" w:rsidRDefault="002C021E" w:rsidP="002C021E">
      <w:pPr>
        <w:pStyle w:val="ListParagraph"/>
        <w:widowControl w:val="0"/>
        <w:numPr>
          <w:ilvl w:val="1"/>
          <w:numId w:val="14"/>
        </w:numPr>
        <w:autoSpaceDE w:val="0"/>
        <w:autoSpaceDN w:val="0"/>
        <w:spacing w:after="0" w:line="240" w:lineRule="auto"/>
        <w:contextualSpacing w:val="0"/>
        <w:jc w:val="both"/>
        <w:rPr>
          <w:rFonts w:ascii="Cambria" w:hAnsi="Cambria"/>
          <w:sz w:val="24"/>
          <w:szCs w:val="24"/>
        </w:rPr>
      </w:pPr>
      <w:r w:rsidRPr="00616363">
        <w:rPr>
          <w:rFonts w:ascii="Cambria" w:hAnsi="Cambria"/>
          <w:sz w:val="24"/>
          <w:szCs w:val="24"/>
        </w:rPr>
        <w:t>Apabila nilai F hitung &lt; F tabel dan jika probabilitas (siginifikasi) &gt; 0,05(α), maka H0</w:t>
      </w:r>
    </w:p>
    <w:p w14:paraId="7AFE4131" w14:textId="77777777" w:rsidR="002C021E" w:rsidRPr="00616363" w:rsidRDefault="002C021E" w:rsidP="002C021E">
      <w:pPr>
        <w:pStyle w:val="BodyText"/>
        <w:spacing w:before="0" w:beforeAutospacing="0" w:after="0" w:afterAutospacing="0" w:line="360" w:lineRule="auto"/>
        <w:jc w:val="both"/>
        <w:rPr>
          <w:rFonts w:ascii="Cambria" w:hAnsi="Cambria"/>
        </w:rPr>
      </w:pPr>
      <w:r w:rsidRPr="00616363">
        <w:rPr>
          <w:rFonts w:ascii="Cambria" w:hAnsi="Cambria"/>
        </w:rPr>
        <w:t>diterima, artinya variable independen secara simultan atau bersama-sama tidak mempengaruhi variable dependen secara signifikan.</w:t>
      </w:r>
    </w:p>
    <w:p w14:paraId="4E1C387B" w14:textId="12EE5C23" w:rsidR="002C021E" w:rsidRPr="002C021E" w:rsidRDefault="002C021E" w:rsidP="002C021E">
      <w:pPr>
        <w:pStyle w:val="ListParagraph"/>
        <w:widowControl w:val="0"/>
        <w:numPr>
          <w:ilvl w:val="1"/>
          <w:numId w:val="14"/>
        </w:numPr>
        <w:autoSpaceDE w:val="0"/>
        <w:autoSpaceDN w:val="0"/>
        <w:spacing w:after="0" w:line="355" w:lineRule="auto"/>
        <w:contextualSpacing w:val="0"/>
        <w:jc w:val="both"/>
        <w:rPr>
          <w:rFonts w:ascii="Cambria" w:hAnsi="Cambria"/>
          <w:sz w:val="24"/>
          <w:szCs w:val="24"/>
        </w:rPr>
      </w:pPr>
      <w:r w:rsidRPr="00616363">
        <w:rPr>
          <w:rFonts w:ascii="Cambria" w:hAnsi="Cambria"/>
          <w:sz w:val="24"/>
          <w:szCs w:val="24"/>
        </w:rPr>
        <w:t>Apabila nilai F hitung &gt; F tabel dan jika probabilitas (signifikasi) lebih kecil dari 0,05(α), maka H0 ditolak, artinya variable independen secara simultan mempengaruhi variable dependen secara signifikan.</w:t>
      </w:r>
    </w:p>
    <w:p w14:paraId="0898BFAC" w14:textId="77777777" w:rsidR="00AA0BD1" w:rsidRPr="00616363" w:rsidRDefault="00AA0BD1" w:rsidP="00AA0BD1">
      <w:pPr>
        <w:pStyle w:val="BodyText"/>
        <w:spacing w:before="0" w:beforeAutospacing="0" w:after="0" w:afterAutospacing="0" w:line="360" w:lineRule="auto"/>
        <w:ind w:firstLine="720"/>
        <w:jc w:val="both"/>
        <w:rPr>
          <w:rFonts w:ascii="Cambria" w:hAnsi="Cambria"/>
        </w:rPr>
      </w:pPr>
    </w:p>
    <w:p w14:paraId="0DD91BC2" w14:textId="77777777" w:rsidR="002C021E" w:rsidRPr="00616363" w:rsidRDefault="002C021E" w:rsidP="002C021E">
      <w:pPr>
        <w:pStyle w:val="BodyText"/>
        <w:spacing w:before="0" w:beforeAutospacing="0" w:after="0" w:afterAutospacing="0"/>
        <w:rPr>
          <w:rFonts w:ascii="Cambria" w:hAnsi="Cambria"/>
        </w:rPr>
      </w:pPr>
      <w:r w:rsidRPr="00616363">
        <w:rPr>
          <w:rFonts w:ascii="Cambria" w:hAnsi="Cambria"/>
          <w:b/>
        </w:rPr>
        <w:t>Uji Parsial (T</w:t>
      </w:r>
      <w:r w:rsidRPr="00616363">
        <w:rPr>
          <w:rFonts w:ascii="Cambria" w:hAnsi="Cambria"/>
        </w:rPr>
        <w:t>)</w:t>
      </w:r>
    </w:p>
    <w:p w14:paraId="5D0A988C" w14:textId="77777777" w:rsidR="002C021E" w:rsidRPr="00616363" w:rsidRDefault="002C021E" w:rsidP="002C021E">
      <w:pPr>
        <w:pStyle w:val="BodyText"/>
        <w:spacing w:before="0" w:beforeAutospacing="0" w:after="0" w:afterAutospacing="0" w:line="360" w:lineRule="auto"/>
        <w:jc w:val="both"/>
        <w:rPr>
          <w:rFonts w:ascii="Cambria" w:hAnsi="Cambria"/>
        </w:rPr>
      </w:pPr>
      <w:r w:rsidRPr="00616363">
        <w:rPr>
          <w:rFonts w:ascii="Cambria" w:hAnsi="Cambria"/>
        </w:rPr>
        <w:t>Uji t atau uji parsial dilakukan untuk mengetahui seberapa jauh suatu variable independen secara parsial terhadap variasi variable dependen. Adapun dasar pengambilan kesimpulan pada uji t ialah sebagai berikut:</w:t>
      </w:r>
    </w:p>
    <w:p w14:paraId="7A8B201A" w14:textId="77777777" w:rsidR="002C021E" w:rsidRPr="00787D28" w:rsidRDefault="002C021E" w:rsidP="002C021E">
      <w:pPr>
        <w:pStyle w:val="ListParagraph"/>
        <w:widowControl w:val="0"/>
        <w:numPr>
          <w:ilvl w:val="0"/>
          <w:numId w:val="15"/>
        </w:numPr>
        <w:autoSpaceDE w:val="0"/>
        <w:autoSpaceDN w:val="0"/>
        <w:spacing w:after="0" w:line="360" w:lineRule="auto"/>
        <w:jc w:val="both"/>
        <w:rPr>
          <w:rFonts w:ascii="Cambria" w:hAnsi="Cambria"/>
          <w:sz w:val="24"/>
          <w:szCs w:val="24"/>
        </w:rPr>
      </w:pPr>
      <w:r w:rsidRPr="00616363">
        <w:rPr>
          <w:rFonts w:ascii="Cambria" w:hAnsi="Cambria"/>
          <w:sz w:val="24"/>
          <w:szCs w:val="24"/>
        </w:rPr>
        <w:t>Apabila nilai thitung &lt; t tabel dan jika probabilitas (signifikasi ) &gt; 0,05 (α), maka H0 diterima, artinya variable independen secara parsial (individual) tidak mempengaruhi variable dependen secara signifikan.</w:t>
      </w:r>
    </w:p>
    <w:p w14:paraId="35BB376F" w14:textId="6C9AE892" w:rsidR="00AA0BD1" w:rsidRDefault="00AA0BD1" w:rsidP="002C021E">
      <w:pPr>
        <w:pStyle w:val="BodyText"/>
        <w:spacing w:before="0" w:beforeAutospacing="0" w:after="0" w:afterAutospacing="0"/>
        <w:rPr>
          <w:rFonts w:ascii="Cambria" w:hAnsi="Cambria"/>
        </w:rPr>
      </w:pPr>
    </w:p>
    <w:p w14:paraId="153593DF" w14:textId="77777777" w:rsidR="002C021E" w:rsidRPr="00856FAB" w:rsidRDefault="002C021E" w:rsidP="002C021E">
      <w:pPr>
        <w:spacing w:after="60" w:line="276" w:lineRule="auto"/>
        <w:rPr>
          <w:rFonts w:ascii="Cambria" w:eastAsia="Cambria" w:hAnsi="Cambria" w:cs="Cambria"/>
          <w:b/>
          <w:sz w:val="30"/>
          <w:szCs w:val="30"/>
          <w:lang w:val="id-ID"/>
        </w:rPr>
      </w:pPr>
      <w:r w:rsidRPr="00856FAB">
        <w:rPr>
          <w:rFonts w:ascii="Cambria" w:eastAsia="Cambria" w:hAnsi="Cambria" w:cs="Cambria"/>
          <w:b/>
          <w:sz w:val="30"/>
          <w:szCs w:val="30"/>
          <w:lang w:val="id-ID"/>
        </w:rPr>
        <w:t>Hasil dan Pembahasan</w:t>
      </w:r>
    </w:p>
    <w:p w14:paraId="43769E10" w14:textId="77777777" w:rsidR="002C021E" w:rsidRPr="00787D28" w:rsidRDefault="002C021E" w:rsidP="002C021E">
      <w:pPr>
        <w:pStyle w:val="Heading2"/>
        <w:spacing w:before="0" w:after="0"/>
        <w:rPr>
          <w:rFonts w:ascii="Cambria" w:hAnsi="Cambria"/>
          <w:sz w:val="24"/>
          <w:szCs w:val="24"/>
        </w:rPr>
      </w:pPr>
      <w:r w:rsidRPr="00787D28">
        <w:rPr>
          <w:rFonts w:ascii="Cambria" w:hAnsi="Cambria"/>
          <w:sz w:val="24"/>
          <w:szCs w:val="24"/>
        </w:rPr>
        <w:t>Gambaran Umum Perusahaan Sektor Perbankan di Bursa Efek Indonesia</w:t>
      </w:r>
    </w:p>
    <w:p w14:paraId="389AB3AA" w14:textId="77777777" w:rsidR="002C021E" w:rsidRPr="00787D28" w:rsidRDefault="002C021E" w:rsidP="002C021E">
      <w:pPr>
        <w:pStyle w:val="BodyText"/>
        <w:spacing w:before="0" w:beforeAutospacing="0" w:after="0" w:afterAutospacing="0" w:line="360" w:lineRule="auto"/>
        <w:ind w:firstLine="720"/>
        <w:jc w:val="both"/>
        <w:rPr>
          <w:rFonts w:ascii="Cambria" w:hAnsi="Cambria"/>
        </w:rPr>
      </w:pPr>
      <w:r w:rsidRPr="00787D28">
        <w:rPr>
          <w:rFonts w:ascii="Cambria" w:hAnsi="Cambria"/>
        </w:rPr>
        <w:t>Sektor perbankan di Bursa Efek Indonesia (BEI) mencerminkan keberagaman dan kontribusi yang signifikan terhadap ekonomi nasional. Perusahaan-perusahaan sektor perbankan di BEI memiliki peran krusial sebagai pilar ekonomi nasional. Sebagai penyedia jasa keuangan, mereka mendukung kegiatan ekonomi dengan menyediakan sumber daya finansial, meningkatkan akses keuangan, dan membantu pertumbuhan bisnis di berbagai sektor. Institusi perbankan di BEI berkontribusi pada stabilitas keuangan nasional melalui manajemen risiko yang cermat dan pemeliharaan modal yang sehat. Keberlanjutan operasional mereka menjadi faktor kunci dalam menjaga keseimbangan dan ketahanan sektor keuangan.</w:t>
      </w:r>
    </w:p>
    <w:p w14:paraId="5D515BA4" w14:textId="77777777" w:rsidR="002C021E" w:rsidRPr="00AA0BD1" w:rsidRDefault="002C021E" w:rsidP="002C021E">
      <w:pPr>
        <w:pStyle w:val="BodyText"/>
        <w:spacing w:before="0" w:beforeAutospacing="0" w:after="0" w:afterAutospacing="0"/>
        <w:rPr>
          <w:rFonts w:ascii="Cambria" w:hAnsi="Cambria"/>
        </w:rPr>
        <w:sectPr w:rsidR="002C021E" w:rsidRPr="00AA0BD1">
          <w:pgSz w:w="12240" w:h="15840"/>
          <w:pgMar w:top="1440" w:right="1440" w:bottom="1440" w:left="1440" w:header="720" w:footer="720" w:gutter="0"/>
          <w:cols w:space="720"/>
        </w:sectPr>
      </w:pPr>
    </w:p>
    <w:p w14:paraId="53D27785" w14:textId="33BF8B0F" w:rsidR="00787D28" w:rsidRPr="002C021E" w:rsidRDefault="00787D28" w:rsidP="002C021E">
      <w:pPr>
        <w:pStyle w:val="BodyText"/>
        <w:spacing w:before="0" w:beforeAutospacing="0" w:after="0" w:afterAutospacing="0" w:line="360" w:lineRule="auto"/>
        <w:jc w:val="both"/>
        <w:rPr>
          <w:rFonts w:ascii="Cambria" w:hAnsi="Cambria"/>
        </w:rPr>
      </w:pPr>
    </w:p>
    <w:p w14:paraId="49857857" w14:textId="77777777" w:rsidR="00787D28" w:rsidRPr="00787D28" w:rsidRDefault="00787D28" w:rsidP="00787D28">
      <w:pPr>
        <w:pStyle w:val="Heading2"/>
        <w:keepNext w:val="0"/>
        <w:keepLines w:val="0"/>
        <w:widowControl w:val="0"/>
        <w:autoSpaceDE w:val="0"/>
        <w:autoSpaceDN w:val="0"/>
        <w:spacing w:before="0" w:after="0" w:line="240" w:lineRule="auto"/>
        <w:jc w:val="both"/>
        <w:rPr>
          <w:rFonts w:ascii="Cambria" w:hAnsi="Cambria"/>
          <w:sz w:val="24"/>
          <w:szCs w:val="24"/>
        </w:rPr>
      </w:pPr>
      <w:r w:rsidRPr="00787D28">
        <w:rPr>
          <w:rFonts w:ascii="Cambria" w:hAnsi="Cambria"/>
          <w:sz w:val="24"/>
          <w:szCs w:val="24"/>
        </w:rPr>
        <w:t>Statistik Deskriptif</w:t>
      </w:r>
    </w:p>
    <w:p w14:paraId="20666ABD" w14:textId="77777777" w:rsidR="00787D28" w:rsidRPr="00787D28" w:rsidRDefault="00787D28" w:rsidP="00787D28">
      <w:pPr>
        <w:pStyle w:val="BodyText"/>
        <w:spacing w:before="0" w:beforeAutospacing="0" w:after="0" w:afterAutospacing="0" w:line="360" w:lineRule="auto"/>
        <w:ind w:firstLine="720"/>
        <w:jc w:val="both"/>
        <w:rPr>
          <w:rFonts w:ascii="Cambria" w:hAnsi="Cambria"/>
        </w:rPr>
      </w:pPr>
      <w:r w:rsidRPr="00787D28">
        <w:rPr>
          <w:rFonts w:ascii="Cambria" w:hAnsi="Cambria"/>
        </w:rPr>
        <w:t xml:space="preserve">Penelitian ini memanfaatkan data sekunder yang dihimpun dari situs </w:t>
      </w:r>
      <w:hyperlink r:id="rId19" w:history="1">
        <w:r w:rsidRPr="00787D28">
          <w:rPr>
            <w:rStyle w:val="Hyperlink"/>
            <w:rFonts w:ascii="Cambria" w:hAnsi="Cambria"/>
          </w:rPr>
          <w:t>www.idx.co.id,</w:t>
        </w:r>
      </w:hyperlink>
      <w:r w:rsidRPr="00787D28">
        <w:rPr>
          <w:rFonts w:ascii="Cambria" w:hAnsi="Cambria"/>
        </w:rPr>
        <w:t xml:space="preserve"> yang melibatkan laporan keuangan perusahaan perbankan yang tercatat di Bursa Efek Indonesia selama periode 2017-2021. Metode statistik deskriptif digunakan sebagai pendekatan analisis untuk memberikan ringkasan data yang menjadi dasar dalam penelitian ini.. Informasi statistik ringkasan tersebut mencerminkan distribusi data dan variasi nilai setiap variabel yang terlibat. Pendekatan ini membantu memperjelas dan memudahkan interpretasi hasil penelitian. Data yang telah diolah dengan metode statistik deskriptif bukan hanya memberikan pemahaman awal, tetapi juga menjadi titik awal yang penting untuk penelitian lebih lanjut mengenai interaksi dan keterkaitan antar variabel dalam konteks penelitian ini.</w:t>
      </w:r>
    </w:p>
    <w:p w14:paraId="141992EE" w14:textId="77777777" w:rsidR="00787D28" w:rsidRPr="00787D28" w:rsidRDefault="00787D28" w:rsidP="00787D28">
      <w:pPr>
        <w:pStyle w:val="Heading2"/>
        <w:spacing w:before="0" w:after="0" w:line="240" w:lineRule="auto"/>
        <w:jc w:val="center"/>
        <w:rPr>
          <w:rFonts w:ascii="Cambria" w:hAnsi="Cambria"/>
          <w:sz w:val="20"/>
          <w:szCs w:val="20"/>
        </w:rPr>
      </w:pPr>
      <w:r w:rsidRPr="00787D28">
        <w:rPr>
          <w:rFonts w:ascii="Cambria" w:hAnsi="Cambria"/>
          <w:sz w:val="20"/>
          <w:szCs w:val="20"/>
        </w:rPr>
        <w:t>Tabel 3.1 Hasil Statistik Deskriptif</w:t>
      </w:r>
    </w:p>
    <w:p w14:paraId="342665C4" w14:textId="15B2EE62" w:rsidR="00787D28" w:rsidRPr="00787D28" w:rsidRDefault="00787D28" w:rsidP="00787D28">
      <w:pPr>
        <w:pStyle w:val="BodyText"/>
        <w:spacing w:before="0" w:beforeAutospacing="0" w:after="0" w:afterAutospacing="0"/>
        <w:jc w:val="center"/>
        <w:rPr>
          <w:rFonts w:ascii="Cambria" w:hAnsi="Cambria"/>
          <w:b/>
          <w:sz w:val="20"/>
          <w:szCs w:val="20"/>
        </w:rPr>
      </w:pPr>
    </w:p>
    <w:tbl>
      <w:tblPr>
        <w:tblW w:w="0" w:type="auto"/>
        <w:jc w:val="center"/>
        <w:tblLayout w:type="fixed"/>
        <w:tblCellMar>
          <w:top w:w="15" w:type="dxa"/>
          <w:left w:w="15" w:type="dxa"/>
          <w:bottom w:w="15" w:type="dxa"/>
          <w:right w:w="15" w:type="dxa"/>
        </w:tblCellMar>
        <w:tblLook w:val="04A0" w:firstRow="1" w:lastRow="0" w:firstColumn="1" w:lastColumn="0" w:noHBand="0" w:noVBand="1"/>
      </w:tblPr>
      <w:tblGrid>
        <w:gridCol w:w="1530"/>
        <w:gridCol w:w="1845"/>
        <w:gridCol w:w="1260"/>
        <w:gridCol w:w="1365"/>
        <w:gridCol w:w="2025"/>
        <w:gridCol w:w="765"/>
      </w:tblGrid>
      <w:tr w:rsidR="00787D28" w:rsidRPr="00787D28" w14:paraId="62632D52" w14:textId="77777777" w:rsidTr="00787D28">
        <w:trPr>
          <w:jc w:val="center"/>
        </w:trPr>
        <w:tc>
          <w:tcPr>
            <w:tcW w:w="1530" w:type="dxa"/>
            <w:tcBorders>
              <w:top w:val="outset" w:sz="6" w:space="0" w:color="auto"/>
              <w:left w:val="outset" w:sz="6" w:space="0" w:color="auto"/>
              <w:bottom w:val="outset" w:sz="6" w:space="0" w:color="auto"/>
              <w:right w:val="outset" w:sz="6" w:space="0" w:color="auto"/>
            </w:tcBorders>
          </w:tcPr>
          <w:p w14:paraId="401AD79C" w14:textId="77777777" w:rsidR="00787D28" w:rsidRPr="00787D28" w:rsidRDefault="00787D28" w:rsidP="00787D28">
            <w:pPr>
              <w:pStyle w:val="TableParagraph"/>
              <w:spacing w:before="0" w:beforeAutospacing="0" w:after="0" w:afterAutospacing="0"/>
              <w:rPr>
                <w:rFonts w:ascii="Cambria" w:eastAsia="Calibri" w:hAnsi="Cambria"/>
                <w:sz w:val="20"/>
                <w:szCs w:val="20"/>
              </w:rPr>
            </w:pPr>
          </w:p>
        </w:tc>
        <w:tc>
          <w:tcPr>
            <w:tcW w:w="1845" w:type="dxa"/>
            <w:tcBorders>
              <w:top w:val="outset" w:sz="6" w:space="0" w:color="auto"/>
              <w:left w:val="outset" w:sz="6" w:space="0" w:color="auto"/>
              <w:bottom w:val="outset" w:sz="6" w:space="0" w:color="auto"/>
              <w:right w:val="outset" w:sz="6" w:space="0" w:color="auto"/>
            </w:tcBorders>
            <w:hideMark/>
          </w:tcPr>
          <w:p w14:paraId="60CE597B" w14:textId="77777777" w:rsidR="00787D28" w:rsidRPr="00787D28" w:rsidRDefault="00787D28" w:rsidP="00787D28">
            <w:pPr>
              <w:pStyle w:val="TableParagraph"/>
              <w:spacing w:before="0" w:beforeAutospacing="0" w:after="0" w:afterAutospacing="0"/>
              <w:rPr>
                <w:rFonts w:ascii="Cambria" w:eastAsia="Calibri" w:hAnsi="Cambria"/>
                <w:sz w:val="20"/>
                <w:szCs w:val="20"/>
              </w:rPr>
            </w:pPr>
            <w:r w:rsidRPr="00787D28">
              <w:rPr>
                <w:rFonts w:ascii="Cambria" w:eastAsia="Calibri" w:hAnsi="Cambria"/>
                <w:sz w:val="20"/>
                <w:szCs w:val="20"/>
              </w:rPr>
              <w:t>Aset</w:t>
            </w:r>
          </w:p>
        </w:tc>
        <w:tc>
          <w:tcPr>
            <w:tcW w:w="1260" w:type="dxa"/>
            <w:tcBorders>
              <w:top w:val="outset" w:sz="6" w:space="0" w:color="auto"/>
              <w:left w:val="outset" w:sz="6" w:space="0" w:color="auto"/>
              <w:bottom w:val="outset" w:sz="6" w:space="0" w:color="auto"/>
              <w:right w:val="outset" w:sz="6" w:space="0" w:color="auto"/>
            </w:tcBorders>
            <w:hideMark/>
          </w:tcPr>
          <w:p w14:paraId="674BAD68" w14:textId="77777777" w:rsidR="00787D28" w:rsidRPr="00787D28" w:rsidRDefault="00787D28" w:rsidP="00787D28">
            <w:pPr>
              <w:pStyle w:val="TableParagraph"/>
              <w:spacing w:before="0" w:beforeAutospacing="0" w:after="0" w:afterAutospacing="0"/>
              <w:rPr>
                <w:rFonts w:ascii="Cambria" w:eastAsia="Calibri" w:hAnsi="Cambria"/>
                <w:sz w:val="20"/>
                <w:szCs w:val="20"/>
              </w:rPr>
            </w:pPr>
            <w:r w:rsidRPr="00787D28">
              <w:rPr>
                <w:rFonts w:ascii="Cambria" w:eastAsia="Calibri" w:hAnsi="Cambria"/>
                <w:sz w:val="20"/>
                <w:szCs w:val="20"/>
              </w:rPr>
              <w:t>DPR</w:t>
            </w:r>
          </w:p>
        </w:tc>
        <w:tc>
          <w:tcPr>
            <w:tcW w:w="1365" w:type="dxa"/>
            <w:tcBorders>
              <w:top w:val="outset" w:sz="6" w:space="0" w:color="auto"/>
              <w:left w:val="outset" w:sz="6" w:space="0" w:color="auto"/>
              <w:bottom w:val="outset" w:sz="6" w:space="0" w:color="auto"/>
              <w:right w:val="outset" w:sz="6" w:space="0" w:color="auto"/>
            </w:tcBorders>
            <w:hideMark/>
          </w:tcPr>
          <w:p w14:paraId="5D4853EF" w14:textId="77777777" w:rsidR="00787D28" w:rsidRPr="00787D28" w:rsidRDefault="00787D28" w:rsidP="00787D28">
            <w:pPr>
              <w:pStyle w:val="TableParagraph"/>
              <w:spacing w:before="0" w:beforeAutospacing="0" w:after="0" w:afterAutospacing="0"/>
              <w:rPr>
                <w:rFonts w:ascii="Cambria" w:eastAsia="Calibri" w:hAnsi="Cambria"/>
                <w:sz w:val="20"/>
                <w:szCs w:val="20"/>
              </w:rPr>
            </w:pPr>
            <w:r w:rsidRPr="00787D28">
              <w:rPr>
                <w:rFonts w:ascii="Cambria" w:eastAsia="Calibri" w:hAnsi="Cambria"/>
                <w:sz w:val="20"/>
                <w:szCs w:val="20"/>
              </w:rPr>
              <w:t>DER</w:t>
            </w:r>
          </w:p>
        </w:tc>
        <w:tc>
          <w:tcPr>
            <w:tcW w:w="2025" w:type="dxa"/>
            <w:tcBorders>
              <w:top w:val="outset" w:sz="6" w:space="0" w:color="auto"/>
              <w:left w:val="outset" w:sz="6" w:space="0" w:color="auto"/>
              <w:bottom w:val="outset" w:sz="6" w:space="0" w:color="auto"/>
              <w:right w:val="outset" w:sz="6" w:space="0" w:color="auto"/>
            </w:tcBorders>
            <w:hideMark/>
          </w:tcPr>
          <w:p w14:paraId="3AC8D9E8" w14:textId="77777777" w:rsidR="00787D28" w:rsidRPr="00787D28" w:rsidRDefault="00787D28" w:rsidP="00787D28">
            <w:pPr>
              <w:pStyle w:val="TableParagraph"/>
              <w:spacing w:before="0" w:beforeAutospacing="0" w:after="0" w:afterAutospacing="0"/>
              <w:rPr>
                <w:rFonts w:ascii="Cambria" w:eastAsia="Calibri" w:hAnsi="Cambria"/>
                <w:sz w:val="20"/>
                <w:szCs w:val="20"/>
              </w:rPr>
            </w:pPr>
            <w:r w:rsidRPr="00787D28">
              <w:rPr>
                <w:rFonts w:ascii="Cambria" w:eastAsia="Calibri" w:hAnsi="Cambria"/>
                <w:sz w:val="20"/>
                <w:szCs w:val="20"/>
              </w:rPr>
              <w:t>Laba</w:t>
            </w:r>
          </w:p>
        </w:tc>
        <w:tc>
          <w:tcPr>
            <w:tcW w:w="765" w:type="dxa"/>
            <w:tcBorders>
              <w:top w:val="outset" w:sz="6" w:space="0" w:color="auto"/>
              <w:left w:val="outset" w:sz="6" w:space="0" w:color="auto"/>
              <w:bottom w:val="outset" w:sz="6" w:space="0" w:color="auto"/>
              <w:right w:val="outset" w:sz="6" w:space="0" w:color="auto"/>
            </w:tcBorders>
            <w:hideMark/>
          </w:tcPr>
          <w:p w14:paraId="465C6A34" w14:textId="77777777" w:rsidR="00787D28" w:rsidRPr="00787D28" w:rsidRDefault="00787D28" w:rsidP="00787D28">
            <w:pPr>
              <w:pStyle w:val="TableParagraph"/>
              <w:spacing w:before="0" w:beforeAutospacing="0" w:after="0" w:afterAutospacing="0"/>
              <w:rPr>
                <w:rFonts w:ascii="Cambria" w:eastAsia="Calibri" w:hAnsi="Cambria"/>
                <w:sz w:val="20"/>
                <w:szCs w:val="20"/>
              </w:rPr>
            </w:pPr>
            <w:r w:rsidRPr="00787D28">
              <w:rPr>
                <w:rFonts w:ascii="Cambria" w:eastAsia="Calibri" w:hAnsi="Cambria"/>
                <w:sz w:val="20"/>
                <w:szCs w:val="20"/>
              </w:rPr>
              <w:t>PBV</w:t>
            </w:r>
          </w:p>
        </w:tc>
      </w:tr>
      <w:tr w:rsidR="00787D28" w:rsidRPr="00787D28" w14:paraId="22E9810E" w14:textId="77777777" w:rsidTr="00787D28">
        <w:trPr>
          <w:jc w:val="center"/>
        </w:trPr>
        <w:tc>
          <w:tcPr>
            <w:tcW w:w="1530" w:type="dxa"/>
            <w:tcBorders>
              <w:top w:val="nil"/>
              <w:left w:val="outset" w:sz="6" w:space="0" w:color="auto"/>
              <w:bottom w:val="outset" w:sz="6" w:space="0" w:color="auto"/>
              <w:right w:val="outset" w:sz="6" w:space="0" w:color="auto"/>
            </w:tcBorders>
            <w:hideMark/>
          </w:tcPr>
          <w:p w14:paraId="11CE9A3A" w14:textId="77777777" w:rsidR="00787D28" w:rsidRPr="00787D28" w:rsidRDefault="00787D28" w:rsidP="00787D28">
            <w:pPr>
              <w:pStyle w:val="TableParagraph"/>
              <w:spacing w:before="0" w:beforeAutospacing="0" w:after="0" w:afterAutospacing="0"/>
              <w:rPr>
                <w:rFonts w:ascii="Cambria" w:eastAsia="Calibri" w:hAnsi="Cambria"/>
                <w:sz w:val="20"/>
                <w:szCs w:val="20"/>
              </w:rPr>
            </w:pPr>
            <w:r w:rsidRPr="00787D28">
              <w:rPr>
                <w:rFonts w:ascii="Cambria" w:eastAsia="Calibri" w:hAnsi="Cambria"/>
                <w:sz w:val="20"/>
                <w:szCs w:val="20"/>
              </w:rPr>
              <w:t>Mean</w:t>
            </w:r>
          </w:p>
        </w:tc>
        <w:tc>
          <w:tcPr>
            <w:tcW w:w="1845" w:type="dxa"/>
            <w:tcBorders>
              <w:top w:val="nil"/>
              <w:left w:val="outset" w:sz="6" w:space="0" w:color="auto"/>
              <w:bottom w:val="outset" w:sz="6" w:space="0" w:color="auto"/>
              <w:right w:val="outset" w:sz="6" w:space="0" w:color="auto"/>
            </w:tcBorders>
            <w:hideMark/>
          </w:tcPr>
          <w:p w14:paraId="3DFF6B14" w14:textId="77777777" w:rsidR="00787D28" w:rsidRPr="00787D28" w:rsidRDefault="00787D28" w:rsidP="00787D28">
            <w:pPr>
              <w:pStyle w:val="TableParagraph"/>
              <w:spacing w:before="0" w:beforeAutospacing="0" w:after="0" w:afterAutospacing="0"/>
              <w:rPr>
                <w:rFonts w:ascii="Cambria" w:eastAsia="Calibri" w:hAnsi="Cambria"/>
                <w:sz w:val="20"/>
                <w:szCs w:val="20"/>
              </w:rPr>
            </w:pPr>
            <w:r w:rsidRPr="00787D28">
              <w:rPr>
                <w:rFonts w:ascii="Cambria" w:eastAsia="Calibri" w:hAnsi="Cambria"/>
                <w:sz w:val="20"/>
                <w:szCs w:val="20"/>
              </w:rPr>
              <w:t>527577474700000</w:t>
            </w:r>
          </w:p>
        </w:tc>
        <w:tc>
          <w:tcPr>
            <w:tcW w:w="1260" w:type="dxa"/>
            <w:tcBorders>
              <w:top w:val="nil"/>
              <w:left w:val="outset" w:sz="6" w:space="0" w:color="auto"/>
              <w:bottom w:val="outset" w:sz="6" w:space="0" w:color="auto"/>
              <w:right w:val="outset" w:sz="6" w:space="0" w:color="auto"/>
            </w:tcBorders>
            <w:hideMark/>
          </w:tcPr>
          <w:p w14:paraId="0ABBA719" w14:textId="77777777" w:rsidR="00787D28" w:rsidRPr="00787D28" w:rsidRDefault="00787D28" w:rsidP="00787D28">
            <w:pPr>
              <w:pStyle w:val="TableParagraph"/>
              <w:spacing w:before="0" w:beforeAutospacing="0" w:after="0" w:afterAutospacing="0"/>
              <w:rPr>
                <w:rFonts w:ascii="Cambria" w:eastAsia="Calibri" w:hAnsi="Cambria"/>
                <w:sz w:val="20"/>
                <w:szCs w:val="20"/>
              </w:rPr>
            </w:pPr>
            <w:r w:rsidRPr="00787D28">
              <w:rPr>
                <w:rFonts w:ascii="Cambria" w:eastAsia="Calibri" w:hAnsi="Cambria"/>
                <w:sz w:val="20"/>
                <w:szCs w:val="20"/>
              </w:rPr>
              <w:t>0.432</w:t>
            </w:r>
          </w:p>
        </w:tc>
        <w:tc>
          <w:tcPr>
            <w:tcW w:w="1365" w:type="dxa"/>
            <w:tcBorders>
              <w:top w:val="nil"/>
              <w:left w:val="outset" w:sz="6" w:space="0" w:color="auto"/>
              <w:bottom w:val="outset" w:sz="6" w:space="0" w:color="auto"/>
              <w:right w:val="outset" w:sz="6" w:space="0" w:color="auto"/>
            </w:tcBorders>
            <w:hideMark/>
          </w:tcPr>
          <w:p w14:paraId="5C0632D6" w14:textId="77777777" w:rsidR="00787D28" w:rsidRPr="00787D28" w:rsidRDefault="00787D28" w:rsidP="00787D28">
            <w:pPr>
              <w:pStyle w:val="TableParagraph"/>
              <w:spacing w:before="0" w:beforeAutospacing="0" w:after="0" w:afterAutospacing="0"/>
              <w:rPr>
                <w:rFonts w:ascii="Cambria" w:eastAsia="Calibri" w:hAnsi="Cambria"/>
                <w:sz w:val="20"/>
                <w:szCs w:val="20"/>
              </w:rPr>
            </w:pPr>
            <w:r w:rsidRPr="00787D28">
              <w:rPr>
                <w:rFonts w:ascii="Cambria" w:eastAsia="Calibri" w:hAnsi="Cambria"/>
                <w:sz w:val="20"/>
                <w:szCs w:val="20"/>
              </w:rPr>
              <w:t>5.788</w:t>
            </w:r>
          </w:p>
        </w:tc>
        <w:tc>
          <w:tcPr>
            <w:tcW w:w="2025" w:type="dxa"/>
            <w:tcBorders>
              <w:top w:val="nil"/>
              <w:left w:val="outset" w:sz="6" w:space="0" w:color="auto"/>
              <w:bottom w:val="outset" w:sz="6" w:space="0" w:color="auto"/>
              <w:right w:val="outset" w:sz="6" w:space="0" w:color="auto"/>
            </w:tcBorders>
            <w:hideMark/>
          </w:tcPr>
          <w:p w14:paraId="74D923E4" w14:textId="77777777" w:rsidR="00787D28" w:rsidRPr="00787D28" w:rsidRDefault="00787D28" w:rsidP="00787D28">
            <w:pPr>
              <w:pStyle w:val="TableParagraph"/>
              <w:spacing w:before="0" w:beforeAutospacing="0" w:after="0" w:afterAutospacing="0"/>
              <w:rPr>
                <w:rFonts w:ascii="Cambria" w:eastAsia="Calibri" w:hAnsi="Cambria"/>
                <w:sz w:val="20"/>
                <w:szCs w:val="20"/>
              </w:rPr>
            </w:pPr>
            <w:r w:rsidRPr="00787D28">
              <w:rPr>
                <w:rFonts w:ascii="Cambria" w:eastAsia="Calibri" w:hAnsi="Cambria"/>
                <w:sz w:val="20"/>
                <w:szCs w:val="20"/>
              </w:rPr>
              <w:t>10333614440000</w:t>
            </w:r>
          </w:p>
        </w:tc>
        <w:tc>
          <w:tcPr>
            <w:tcW w:w="765" w:type="dxa"/>
            <w:tcBorders>
              <w:top w:val="nil"/>
              <w:left w:val="outset" w:sz="6" w:space="0" w:color="auto"/>
              <w:bottom w:val="outset" w:sz="6" w:space="0" w:color="auto"/>
              <w:right w:val="outset" w:sz="6" w:space="0" w:color="auto"/>
            </w:tcBorders>
            <w:hideMark/>
          </w:tcPr>
          <w:p w14:paraId="4942CE19" w14:textId="77777777" w:rsidR="00787D28" w:rsidRPr="00787D28" w:rsidRDefault="00787D28" w:rsidP="00787D28">
            <w:pPr>
              <w:pStyle w:val="TableParagraph"/>
              <w:spacing w:before="0" w:beforeAutospacing="0" w:after="0" w:afterAutospacing="0"/>
              <w:rPr>
                <w:rFonts w:ascii="Cambria" w:eastAsia="Calibri" w:hAnsi="Cambria"/>
                <w:sz w:val="20"/>
                <w:szCs w:val="20"/>
              </w:rPr>
            </w:pPr>
            <w:r w:rsidRPr="00787D28">
              <w:rPr>
                <w:rFonts w:ascii="Cambria" w:eastAsia="Calibri" w:hAnsi="Cambria"/>
                <w:sz w:val="20"/>
                <w:szCs w:val="20"/>
              </w:rPr>
              <w:t>1.66</w:t>
            </w:r>
          </w:p>
        </w:tc>
      </w:tr>
      <w:tr w:rsidR="00787D28" w:rsidRPr="00787D28" w14:paraId="7DC36986" w14:textId="77777777" w:rsidTr="00787D28">
        <w:trPr>
          <w:jc w:val="center"/>
        </w:trPr>
        <w:tc>
          <w:tcPr>
            <w:tcW w:w="1530" w:type="dxa"/>
            <w:tcBorders>
              <w:top w:val="nil"/>
              <w:left w:val="outset" w:sz="6" w:space="0" w:color="auto"/>
              <w:bottom w:val="outset" w:sz="6" w:space="0" w:color="auto"/>
              <w:right w:val="outset" w:sz="6" w:space="0" w:color="auto"/>
            </w:tcBorders>
            <w:hideMark/>
          </w:tcPr>
          <w:p w14:paraId="7308C61B" w14:textId="77777777" w:rsidR="00787D28" w:rsidRPr="00787D28" w:rsidRDefault="00787D28" w:rsidP="00787D28">
            <w:pPr>
              <w:pStyle w:val="TableParagraph"/>
              <w:spacing w:before="0" w:beforeAutospacing="0" w:after="0" w:afterAutospacing="0"/>
              <w:rPr>
                <w:rFonts w:ascii="Cambria" w:eastAsia="Calibri" w:hAnsi="Cambria"/>
                <w:sz w:val="20"/>
                <w:szCs w:val="20"/>
              </w:rPr>
            </w:pPr>
            <w:r w:rsidRPr="00787D28">
              <w:rPr>
                <w:rFonts w:ascii="Cambria" w:eastAsia="Calibri" w:hAnsi="Cambria"/>
                <w:sz w:val="20"/>
                <w:szCs w:val="20"/>
              </w:rPr>
              <w:t>Standard Deviation</w:t>
            </w:r>
          </w:p>
        </w:tc>
        <w:tc>
          <w:tcPr>
            <w:tcW w:w="1845" w:type="dxa"/>
            <w:tcBorders>
              <w:top w:val="nil"/>
              <w:left w:val="outset" w:sz="6" w:space="0" w:color="auto"/>
              <w:bottom w:val="outset" w:sz="6" w:space="0" w:color="auto"/>
              <w:right w:val="outset" w:sz="6" w:space="0" w:color="auto"/>
            </w:tcBorders>
            <w:hideMark/>
          </w:tcPr>
          <w:p w14:paraId="32A4F9B6" w14:textId="77777777" w:rsidR="00787D28" w:rsidRPr="00787D28" w:rsidRDefault="00787D28" w:rsidP="00787D28">
            <w:pPr>
              <w:pStyle w:val="TableParagraph"/>
              <w:spacing w:before="0" w:beforeAutospacing="0" w:after="0" w:afterAutospacing="0"/>
              <w:rPr>
                <w:rFonts w:ascii="Cambria" w:eastAsia="Calibri" w:hAnsi="Cambria"/>
                <w:sz w:val="20"/>
                <w:szCs w:val="20"/>
              </w:rPr>
            </w:pPr>
            <w:r w:rsidRPr="00787D28">
              <w:rPr>
                <w:rFonts w:ascii="Cambria" w:eastAsia="Calibri" w:hAnsi="Cambria"/>
                <w:sz w:val="20"/>
                <w:szCs w:val="20"/>
              </w:rPr>
              <w:t>76848294909696</w:t>
            </w:r>
          </w:p>
        </w:tc>
        <w:tc>
          <w:tcPr>
            <w:tcW w:w="1260" w:type="dxa"/>
            <w:tcBorders>
              <w:top w:val="nil"/>
              <w:left w:val="outset" w:sz="6" w:space="0" w:color="auto"/>
              <w:bottom w:val="outset" w:sz="6" w:space="0" w:color="auto"/>
              <w:right w:val="outset" w:sz="6" w:space="0" w:color="auto"/>
            </w:tcBorders>
            <w:hideMark/>
          </w:tcPr>
          <w:p w14:paraId="7E0C975A" w14:textId="77777777" w:rsidR="00787D28" w:rsidRPr="00787D28" w:rsidRDefault="00787D28" w:rsidP="00787D28">
            <w:pPr>
              <w:pStyle w:val="TableParagraph"/>
              <w:spacing w:before="0" w:beforeAutospacing="0" w:after="0" w:afterAutospacing="0"/>
              <w:rPr>
                <w:rFonts w:ascii="Cambria" w:eastAsia="Calibri" w:hAnsi="Cambria"/>
                <w:sz w:val="20"/>
                <w:szCs w:val="20"/>
              </w:rPr>
            </w:pPr>
            <w:r w:rsidRPr="00787D28">
              <w:rPr>
                <w:rFonts w:ascii="Cambria" w:eastAsia="Calibri" w:hAnsi="Cambria"/>
                <w:sz w:val="20"/>
                <w:szCs w:val="20"/>
              </w:rPr>
              <w:t>0.173</w:t>
            </w:r>
          </w:p>
        </w:tc>
        <w:tc>
          <w:tcPr>
            <w:tcW w:w="1365" w:type="dxa"/>
            <w:tcBorders>
              <w:top w:val="nil"/>
              <w:left w:val="outset" w:sz="6" w:space="0" w:color="auto"/>
              <w:bottom w:val="outset" w:sz="6" w:space="0" w:color="auto"/>
              <w:right w:val="outset" w:sz="6" w:space="0" w:color="auto"/>
            </w:tcBorders>
            <w:hideMark/>
          </w:tcPr>
          <w:p w14:paraId="4417488A" w14:textId="77777777" w:rsidR="00787D28" w:rsidRPr="00787D28" w:rsidRDefault="00787D28" w:rsidP="00787D28">
            <w:pPr>
              <w:pStyle w:val="TableParagraph"/>
              <w:spacing w:before="0" w:beforeAutospacing="0" w:after="0" w:afterAutospacing="0"/>
              <w:rPr>
                <w:rFonts w:ascii="Cambria" w:eastAsia="Calibri" w:hAnsi="Cambria"/>
                <w:sz w:val="20"/>
                <w:szCs w:val="20"/>
              </w:rPr>
            </w:pPr>
            <w:r w:rsidRPr="00787D28">
              <w:rPr>
                <w:rFonts w:ascii="Cambria" w:eastAsia="Calibri" w:hAnsi="Cambria"/>
                <w:sz w:val="20"/>
                <w:szCs w:val="20"/>
              </w:rPr>
              <w:t>3.163</w:t>
            </w:r>
          </w:p>
        </w:tc>
        <w:tc>
          <w:tcPr>
            <w:tcW w:w="2025" w:type="dxa"/>
            <w:tcBorders>
              <w:top w:val="nil"/>
              <w:left w:val="outset" w:sz="6" w:space="0" w:color="auto"/>
              <w:bottom w:val="outset" w:sz="6" w:space="0" w:color="auto"/>
              <w:right w:val="outset" w:sz="6" w:space="0" w:color="auto"/>
            </w:tcBorders>
            <w:hideMark/>
          </w:tcPr>
          <w:p w14:paraId="4C469EBD" w14:textId="77777777" w:rsidR="00787D28" w:rsidRPr="00787D28" w:rsidRDefault="00787D28" w:rsidP="00787D28">
            <w:pPr>
              <w:pStyle w:val="TableParagraph"/>
              <w:spacing w:before="0" w:beforeAutospacing="0" w:after="0" w:afterAutospacing="0"/>
              <w:rPr>
                <w:rFonts w:ascii="Cambria" w:eastAsia="Calibri" w:hAnsi="Cambria"/>
                <w:sz w:val="20"/>
                <w:szCs w:val="20"/>
              </w:rPr>
            </w:pPr>
            <w:r w:rsidRPr="00787D28">
              <w:rPr>
                <w:rFonts w:ascii="Cambria" w:eastAsia="Calibri" w:hAnsi="Cambria"/>
                <w:sz w:val="20"/>
                <w:szCs w:val="20"/>
              </w:rPr>
              <w:t>11730464333861.8</w:t>
            </w:r>
          </w:p>
        </w:tc>
        <w:tc>
          <w:tcPr>
            <w:tcW w:w="765" w:type="dxa"/>
            <w:tcBorders>
              <w:top w:val="nil"/>
              <w:left w:val="outset" w:sz="6" w:space="0" w:color="auto"/>
              <w:bottom w:val="outset" w:sz="6" w:space="0" w:color="auto"/>
              <w:right w:val="outset" w:sz="6" w:space="0" w:color="auto"/>
            </w:tcBorders>
            <w:hideMark/>
          </w:tcPr>
          <w:p w14:paraId="4C4492E0" w14:textId="77777777" w:rsidR="00787D28" w:rsidRPr="00787D28" w:rsidRDefault="00787D28" w:rsidP="00787D28">
            <w:pPr>
              <w:pStyle w:val="TableParagraph"/>
              <w:spacing w:before="0" w:beforeAutospacing="0" w:after="0" w:afterAutospacing="0"/>
              <w:rPr>
                <w:rFonts w:ascii="Cambria" w:eastAsia="Calibri" w:hAnsi="Cambria"/>
                <w:sz w:val="20"/>
                <w:szCs w:val="20"/>
              </w:rPr>
            </w:pPr>
            <w:r w:rsidRPr="00787D28">
              <w:rPr>
                <w:rFonts w:ascii="Cambria" w:eastAsia="Calibri" w:hAnsi="Cambria"/>
                <w:sz w:val="20"/>
                <w:szCs w:val="20"/>
              </w:rPr>
              <w:t>1.064</w:t>
            </w:r>
          </w:p>
        </w:tc>
      </w:tr>
      <w:tr w:rsidR="00787D28" w:rsidRPr="00787D28" w14:paraId="291763EA" w14:textId="77777777" w:rsidTr="00787D28">
        <w:trPr>
          <w:jc w:val="center"/>
        </w:trPr>
        <w:tc>
          <w:tcPr>
            <w:tcW w:w="1530" w:type="dxa"/>
            <w:tcBorders>
              <w:top w:val="nil"/>
              <w:left w:val="outset" w:sz="6" w:space="0" w:color="auto"/>
              <w:bottom w:val="outset" w:sz="6" w:space="0" w:color="auto"/>
              <w:right w:val="outset" w:sz="6" w:space="0" w:color="auto"/>
            </w:tcBorders>
            <w:hideMark/>
          </w:tcPr>
          <w:p w14:paraId="4CB424D4" w14:textId="77777777" w:rsidR="00787D28" w:rsidRPr="00787D28" w:rsidRDefault="00787D28" w:rsidP="00787D28">
            <w:pPr>
              <w:pStyle w:val="TableParagraph"/>
              <w:spacing w:before="0" w:beforeAutospacing="0" w:after="0" w:afterAutospacing="0"/>
              <w:rPr>
                <w:rFonts w:ascii="Cambria" w:eastAsia="Calibri" w:hAnsi="Cambria"/>
                <w:sz w:val="20"/>
                <w:szCs w:val="20"/>
              </w:rPr>
            </w:pPr>
            <w:r w:rsidRPr="00787D28">
              <w:rPr>
                <w:rFonts w:ascii="Cambria" w:eastAsia="Calibri" w:hAnsi="Cambria"/>
                <w:sz w:val="20"/>
                <w:szCs w:val="20"/>
              </w:rPr>
              <w:t>Minimum</w:t>
            </w:r>
          </w:p>
        </w:tc>
        <w:tc>
          <w:tcPr>
            <w:tcW w:w="1845" w:type="dxa"/>
            <w:tcBorders>
              <w:top w:val="nil"/>
              <w:left w:val="outset" w:sz="6" w:space="0" w:color="auto"/>
              <w:bottom w:val="outset" w:sz="6" w:space="0" w:color="auto"/>
              <w:right w:val="outset" w:sz="6" w:space="0" w:color="auto"/>
            </w:tcBorders>
            <w:hideMark/>
          </w:tcPr>
          <w:p w14:paraId="35F5A91D" w14:textId="77777777" w:rsidR="00787D28" w:rsidRPr="00787D28" w:rsidRDefault="00787D28" w:rsidP="00787D28">
            <w:pPr>
              <w:pStyle w:val="TableParagraph"/>
              <w:spacing w:before="0" w:beforeAutospacing="0" w:after="0" w:afterAutospacing="0"/>
              <w:rPr>
                <w:rFonts w:ascii="Cambria" w:eastAsia="Calibri" w:hAnsi="Cambria"/>
                <w:sz w:val="20"/>
                <w:szCs w:val="20"/>
              </w:rPr>
            </w:pPr>
            <w:r w:rsidRPr="00787D28">
              <w:rPr>
                <w:rFonts w:ascii="Cambria" w:eastAsia="Calibri" w:hAnsi="Cambria"/>
                <w:sz w:val="20"/>
                <w:szCs w:val="20"/>
              </w:rPr>
              <w:t>27086504000000</w:t>
            </w:r>
          </w:p>
        </w:tc>
        <w:tc>
          <w:tcPr>
            <w:tcW w:w="1260" w:type="dxa"/>
            <w:tcBorders>
              <w:top w:val="nil"/>
              <w:left w:val="outset" w:sz="6" w:space="0" w:color="auto"/>
              <w:bottom w:val="outset" w:sz="6" w:space="0" w:color="auto"/>
              <w:right w:val="outset" w:sz="6" w:space="0" w:color="auto"/>
            </w:tcBorders>
            <w:hideMark/>
          </w:tcPr>
          <w:p w14:paraId="2C659E0B" w14:textId="77777777" w:rsidR="00787D28" w:rsidRPr="00787D28" w:rsidRDefault="00787D28" w:rsidP="00787D28">
            <w:pPr>
              <w:pStyle w:val="TableParagraph"/>
              <w:spacing w:before="0" w:beforeAutospacing="0" w:after="0" w:afterAutospacing="0"/>
              <w:rPr>
                <w:rFonts w:ascii="Cambria" w:eastAsia="Calibri" w:hAnsi="Cambria"/>
                <w:sz w:val="20"/>
                <w:szCs w:val="20"/>
              </w:rPr>
            </w:pPr>
            <w:r w:rsidRPr="00787D28">
              <w:rPr>
                <w:rFonts w:ascii="Cambria" w:eastAsia="Calibri" w:hAnsi="Cambria"/>
                <w:sz w:val="20"/>
                <w:szCs w:val="20"/>
              </w:rPr>
              <w:t>0.123</w:t>
            </w:r>
          </w:p>
        </w:tc>
        <w:tc>
          <w:tcPr>
            <w:tcW w:w="1365" w:type="dxa"/>
            <w:tcBorders>
              <w:top w:val="nil"/>
              <w:left w:val="outset" w:sz="6" w:space="0" w:color="auto"/>
              <w:bottom w:val="outset" w:sz="6" w:space="0" w:color="auto"/>
              <w:right w:val="outset" w:sz="6" w:space="0" w:color="auto"/>
            </w:tcBorders>
            <w:hideMark/>
          </w:tcPr>
          <w:p w14:paraId="516CE409" w14:textId="77777777" w:rsidR="00787D28" w:rsidRPr="00787D28" w:rsidRDefault="00787D28" w:rsidP="00787D28">
            <w:pPr>
              <w:pStyle w:val="TableParagraph"/>
              <w:spacing w:before="0" w:beforeAutospacing="0" w:after="0" w:afterAutospacing="0"/>
              <w:rPr>
                <w:rFonts w:ascii="Cambria" w:eastAsia="Calibri" w:hAnsi="Cambria"/>
                <w:sz w:val="20"/>
                <w:szCs w:val="20"/>
              </w:rPr>
            </w:pPr>
            <w:r w:rsidRPr="00787D28">
              <w:rPr>
                <w:rFonts w:ascii="Cambria" w:eastAsia="Calibri" w:hAnsi="Cambria"/>
                <w:sz w:val="20"/>
                <w:szCs w:val="20"/>
              </w:rPr>
              <w:t>3.261</w:t>
            </w:r>
          </w:p>
        </w:tc>
        <w:tc>
          <w:tcPr>
            <w:tcW w:w="2025" w:type="dxa"/>
            <w:tcBorders>
              <w:top w:val="nil"/>
              <w:left w:val="outset" w:sz="6" w:space="0" w:color="auto"/>
              <w:bottom w:val="outset" w:sz="6" w:space="0" w:color="auto"/>
              <w:right w:val="outset" w:sz="6" w:space="0" w:color="auto"/>
            </w:tcBorders>
            <w:hideMark/>
          </w:tcPr>
          <w:p w14:paraId="59751784" w14:textId="77777777" w:rsidR="00787D28" w:rsidRPr="00787D28" w:rsidRDefault="00787D28" w:rsidP="00787D28">
            <w:pPr>
              <w:pStyle w:val="TableParagraph"/>
              <w:spacing w:before="0" w:beforeAutospacing="0" w:after="0" w:afterAutospacing="0"/>
              <w:rPr>
                <w:rFonts w:ascii="Cambria" w:eastAsia="Calibri" w:hAnsi="Cambria"/>
                <w:sz w:val="20"/>
                <w:szCs w:val="20"/>
              </w:rPr>
            </w:pPr>
            <w:r w:rsidRPr="00787D28">
              <w:rPr>
                <w:rFonts w:ascii="Cambria" w:eastAsia="Calibri" w:hAnsi="Cambria"/>
                <w:sz w:val="20"/>
                <w:szCs w:val="20"/>
              </w:rPr>
              <w:t>438725000000</w:t>
            </w:r>
          </w:p>
        </w:tc>
        <w:tc>
          <w:tcPr>
            <w:tcW w:w="765" w:type="dxa"/>
            <w:tcBorders>
              <w:top w:val="nil"/>
              <w:left w:val="outset" w:sz="6" w:space="0" w:color="auto"/>
              <w:bottom w:val="outset" w:sz="6" w:space="0" w:color="auto"/>
              <w:right w:val="outset" w:sz="6" w:space="0" w:color="auto"/>
            </w:tcBorders>
            <w:hideMark/>
          </w:tcPr>
          <w:p w14:paraId="7C141285" w14:textId="77777777" w:rsidR="00787D28" w:rsidRPr="00787D28" w:rsidRDefault="00787D28" w:rsidP="00787D28">
            <w:pPr>
              <w:pStyle w:val="TableParagraph"/>
              <w:spacing w:before="0" w:beforeAutospacing="0" w:after="0" w:afterAutospacing="0"/>
              <w:rPr>
                <w:rFonts w:ascii="Cambria" w:eastAsia="Calibri" w:hAnsi="Cambria"/>
                <w:sz w:val="20"/>
                <w:szCs w:val="20"/>
              </w:rPr>
            </w:pPr>
            <w:r w:rsidRPr="00787D28">
              <w:rPr>
                <w:rFonts w:ascii="Cambria" w:eastAsia="Calibri" w:hAnsi="Cambria"/>
                <w:sz w:val="20"/>
                <w:szCs w:val="20"/>
              </w:rPr>
              <w:t>0.509</w:t>
            </w:r>
          </w:p>
        </w:tc>
      </w:tr>
      <w:tr w:rsidR="00787D28" w:rsidRPr="00787D28" w14:paraId="5F0B14B3" w14:textId="77777777" w:rsidTr="00787D28">
        <w:trPr>
          <w:jc w:val="center"/>
        </w:trPr>
        <w:tc>
          <w:tcPr>
            <w:tcW w:w="1530" w:type="dxa"/>
            <w:tcBorders>
              <w:top w:val="nil"/>
              <w:left w:val="outset" w:sz="6" w:space="0" w:color="auto"/>
              <w:bottom w:val="outset" w:sz="6" w:space="0" w:color="auto"/>
              <w:right w:val="outset" w:sz="6" w:space="0" w:color="auto"/>
            </w:tcBorders>
            <w:hideMark/>
          </w:tcPr>
          <w:p w14:paraId="0160DB8F" w14:textId="77777777" w:rsidR="00787D28" w:rsidRPr="00787D28" w:rsidRDefault="00787D28" w:rsidP="00787D28">
            <w:pPr>
              <w:pStyle w:val="TableParagraph"/>
              <w:spacing w:before="0" w:beforeAutospacing="0" w:after="0" w:afterAutospacing="0"/>
              <w:rPr>
                <w:rFonts w:ascii="Cambria" w:eastAsia="Calibri" w:hAnsi="Cambria"/>
                <w:sz w:val="20"/>
                <w:szCs w:val="20"/>
              </w:rPr>
            </w:pPr>
            <w:r w:rsidRPr="00787D28">
              <w:rPr>
                <w:rFonts w:ascii="Cambria" w:eastAsia="Calibri" w:hAnsi="Cambria"/>
                <w:sz w:val="20"/>
                <w:szCs w:val="20"/>
              </w:rPr>
              <w:t>Maximum</w:t>
            </w:r>
          </w:p>
        </w:tc>
        <w:tc>
          <w:tcPr>
            <w:tcW w:w="1845" w:type="dxa"/>
            <w:tcBorders>
              <w:top w:val="nil"/>
              <w:left w:val="outset" w:sz="6" w:space="0" w:color="auto"/>
              <w:bottom w:val="outset" w:sz="6" w:space="0" w:color="auto"/>
              <w:right w:val="outset" w:sz="6" w:space="0" w:color="auto"/>
            </w:tcBorders>
            <w:hideMark/>
          </w:tcPr>
          <w:p w14:paraId="7BD39E5D" w14:textId="77777777" w:rsidR="00787D28" w:rsidRPr="00787D28" w:rsidRDefault="00787D28" w:rsidP="00787D28">
            <w:pPr>
              <w:pStyle w:val="TableParagraph"/>
              <w:spacing w:before="0" w:beforeAutospacing="0" w:after="0" w:afterAutospacing="0"/>
              <w:rPr>
                <w:rFonts w:ascii="Cambria" w:eastAsia="Calibri" w:hAnsi="Cambria"/>
                <w:sz w:val="20"/>
                <w:szCs w:val="20"/>
              </w:rPr>
            </w:pPr>
            <w:r w:rsidRPr="00787D28">
              <w:rPr>
                <w:rFonts w:ascii="Cambria" w:eastAsia="Calibri" w:hAnsi="Cambria"/>
                <w:sz w:val="20"/>
                <w:szCs w:val="20"/>
              </w:rPr>
              <w:t>1725611100000000</w:t>
            </w:r>
          </w:p>
        </w:tc>
        <w:tc>
          <w:tcPr>
            <w:tcW w:w="1260" w:type="dxa"/>
            <w:tcBorders>
              <w:top w:val="nil"/>
              <w:left w:val="outset" w:sz="6" w:space="0" w:color="auto"/>
              <w:bottom w:val="outset" w:sz="6" w:space="0" w:color="auto"/>
              <w:right w:val="outset" w:sz="6" w:space="0" w:color="auto"/>
            </w:tcBorders>
            <w:hideMark/>
          </w:tcPr>
          <w:p w14:paraId="006F5671" w14:textId="77777777" w:rsidR="00787D28" w:rsidRPr="00787D28" w:rsidRDefault="00787D28" w:rsidP="00787D28">
            <w:pPr>
              <w:pStyle w:val="TableParagraph"/>
              <w:spacing w:before="0" w:beforeAutospacing="0" w:after="0" w:afterAutospacing="0"/>
              <w:rPr>
                <w:rFonts w:ascii="Cambria" w:eastAsia="Calibri" w:hAnsi="Cambria"/>
                <w:sz w:val="20"/>
                <w:szCs w:val="20"/>
              </w:rPr>
            </w:pPr>
            <w:r w:rsidRPr="00787D28">
              <w:rPr>
                <w:rFonts w:ascii="Cambria" w:eastAsia="Calibri" w:hAnsi="Cambria"/>
                <w:sz w:val="20"/>
                <w:szCs w:val="20"/>
              </w:rPr>
              <w:t>0.859</w:t>
            </w:r>
          </w:p>
        </w:tc>
        <w:tc>
          <w:tcPr>
            <w:tcW w:w="1365" w:type="dxa"/>
            <w:tcBorders>
              <w:top w:val="nil"/>
              <w:left w:val="outset" w:sz="6" w:space="0" w:color="auto"/>
              <w:bottom w:val="outset" w:sz="6" w:space="0" w:color="auto"/>
              <w:right w:val="outset" w:sz="6" w:space="0" w:color="auto"/>
            </w:tcBorders>
            <w:hideMark/>
          </w:tcPr>
          <w:p w14:paraId="4A53E745" w14:textId="77777777" w:rsidR="00787D28" w:rsidRPr="00787D28" w:rsidRDefault="00787D28" w:rsidP="00787D28">
            <w:pPr>
              <w:pStyle w:val="TableParagraph"/>
              <w:spacing w:before="0" w:beforeAutospacing="0" w:after="0" w:afterAutospacing="0"/>
              <w:rPr>
                <w:rFonts w:ascii="Cambria" w:eastAsia="Calibri" w:hAnsi="Cambria"/>
                <w:sz w:val="20"/>
                <w:szCs w:val="20"/>
              </w:rPr>
            </w:pPr>
            <w:r w:rsidRPr="00787D28">
              <w:rPr>
                <w:rFonts w:ascii="Cambria" w:eastAsia="Calibri" w:hAnsi="Cambria"/>
                <w:sz w:val="20"/>
                <w:szCs w:val="20"/>
              </w:rPr>
              <w:t>11.103</w:t>
            </w:r>
          </w:p>
        </w:tc>
        <w:tc>
          <w:tcPr>
            <w:tcW w:w="2025" w:type="dxa"/>
            <w:tcBorders>
              <w:top w:val="nil"/>
              <w:left w:val="outset" w:sz="6" w:space="0" w:color="auto"/>
              <w:bottom w:val="outset" w:sz="6" w:space="0" w:color="auto"/>
              <w:right w:val="outset" w:sz="6" w:space="0" w:color="auto"/>
            </w:tcBorders>
            <w:hideMark/>
          </w:tcPr>
          <w:p w14:paraId="0FDC2114" w14:textId="77777777" w:rsidR="00787D28" w:rsidRPr="00787D28" w:rsidRDefault="00787D28" w:rsidP="00787D28">
            <w:pPr>
              <w:pStyle w:val="TableParagraph"/>
              <w:spacing w:before="0" w:beforeAutospacing="0" w:after="0" w:afterAutospacing="0"/>
              <w:rPr>
                <w:rFonts w:ascii="Cambria" w:eastAsia="Calibri" w:hAnsi="Cambria"/>
                <w:sz w:val="20"/>
                <w:szCs w:val="20"/>
              </w:rPr>
            </w:pPr>
            <w:r w:rsidRPr="00787D28">
              <w:rPr>
                <w:rFonts w:ascii="Cambria" w:eastAsia="Calibri" w:hAnsi="Cambria"/>
                <w:sz w:val="20"/>
                <w:szCs w:val="20"/>
              </w:rPr>
              <w:t>34413825000000</w:t>
            </w:r>
          </w:p>
        </w:tc>
        <w:tc>
          <w:tcPr>
            <w:tcW w:w="765" w:type="dxa"/>
            <w:tcBorders>
              <w:top w:val="nil"/>
              <w:left w:val="outset" w:sz="6" w:space="0" w:color="auto"/>
              <w:bottom w:val="outset" w:sz="6" w:space="0" w:color="auto"/>
              <w:right w:val="outset" w:sz="6" w:space="0" w:color="auto"/>
            </w:tcBorders>
            <w:hideMark/>
          </w:tcPr>
          <w:p w14:paraId="0AEDC77F" w14:textId="77777777" w:rsidR="00787D28" w:rsidRPr="00787D28" w:rsidRDefault="00787D28" w:rsidP="00787D28">
            <w:pPr>
              <w:pStyle w:val="TableParagraph"/>
              <w:spacing w:before="0" w:beforeAutospacing="0" w:after="0" w:afterAutospacing="0"/>
              <w:rPr>
                <w:rFonts w:ascii="Cambria" w:eastAsia="Calibri" w:hAnsi="Cambria"/>
                <w:sz w:val="20"/>
                <w:szCs w:val="20"/>
              </w:rPr>
            </w:pPr>
            <w:r w:rsidRPr="00787D28">
              <w:rPr>
                <w:rFonts w:ascii="Cambria" w:eastAsia="Calibri" w:hAnsi="Cambria"/>
                <w:sz w:val="20"/>
                <w:szCs w:val="20"/>
              </w:rPr>
              <w:t>4.725</w:t>
            </w:r>
          </w:p>
        </w:tc>
      </w:tr>
    </w:tbl>
    <w:p w14:paraId="4725EE65" w14:textId="0C6FE9A4" w:rsidR="00787D28" w:rsidRPr="00787D28" w:rsidRDefault="00787D28" w:rsidP="00787D28">
      <w:pPr>
        <w:pStyle w:val="BodyText"/>
        <w:spacing w:before="0" w:beforeAutospacing="0" w:after="0" w:afterAutospacing="0"/>
        <w:jc w:val="center"/>
        <w:rPr>
          <w:rFonts w:ascii="Cambria" w:hAnsi="Cambria"/>
          <w:b/>
          <w:sz w:val="20"/>
          <w:szCs w:val="20"/>
        </w:rPr>
      </w:pPr>
    </w:p>
    <w:p w14:paraId="15376A97" w14:textId="77777777" w:rsidR="00787D28" w:rsidRPr="00787D28" w:rsidRDefault="00787D28" w:rsidP="00787D28">
      <w:pPr>
        <w:pStyle w:val="BodyText"/>
        <w:spacing w:before="0" w:beforeAutospacing="0" w:after="0" w:afterAutospacing="0"/>
        <w:jc w:val="both"/>
        <w:rPr>
          <w:rFonts w:ascii="Cambria" w:hAnsi="Cambria"/>
        </w:rPr>
      </w:pPr>
      <w:r w:rsidRPr="00787D28">
        <w:rPr>
          <w:rFonts w:ascii="Cambria" w:hAnsi="Cambria"/>
        </w:rPr>
        <w:t>Berdasarkan data pada Tabel 3.1 hasil statisktik deskriptif dapat dijelaskan sebagai berikut :</w:t>
      </w:r>
    </w:p>
    <w:p w14:paraId="0A00EACA" w14:textId="77777777" w:rsidR="00787D28" w:rsidRPr="00787D28" w:rsidRDefault="00787D28" w:rsidP="00787D28">
      <w:pPr>
        <w:pStyle w:val="ListParagraph"/>
        <w:widowControl w:val="0"/>
        <w:numPr>
          <w:ilvl w:val="0"/>
          <w:numId w:val="19"/>
        </w:numPr>
        <w:autoSpaceDE w:val="0"/>
        <w:autoSpaceDN w:val="0"/>
        <w:spacing w:after="0" w:line="360" w:lineRule="auto"/>
        <w:contextualSpacing w:val="0"/>
        <w:jc w:val="both"/>
        <w:rPr>
          <w:rFonts w:ascii="Cambria" w:hAnsi="Cambria"/>
          <w:sz w:val="24"/>
          <w:szCs w:val="24"/>
        </w:rPr>
      </w:pPr>
      <w:r w:rsidRPr="00787D28">
        <w:rPr>
          <w:rFonts w:ascii="Cambria" w:hAnsi="Cambria"/>
          <w:sz w:val="24"/>
          <w:szCs w:val="24"/>
        </w:rPr>
        <w:t>Variabel Aset (X1) menunjukkan nilai rata – rata sebesar 527577474700000. Nilai minimum sebesar 27086504000000 pada PT Bank Woori Saudara Indonesia 1906 ,Tbk. pada tahun 2018 sementara untuk nilai maksimum sebesar 1725611100000000 pada PT Bank Mandiri,Tbk pada tahun 2021 serta standar deviasi sebesar 76848294909696.0.</w:t>
      </w:r>
    </w:p>
    <w:p w14:paraId="1E544D66" w14:textId="67E3307C" w:rsidR="00787D28" w:rsidRPr="002C021E" w:rsidRDefault="00787D28" w:rsidP="002C021E">
      <w:pPr>
        <w:pStyle w:val="ListParagraph"/>
        <w:widowControl w:val="0"/>
        <w:numPr>
          <w:ilvl w:val="0"/>
          <w:numId w:val="19"/>
        </w:numPr>
        <w:autoSpaceDE w:val="0"/>
        <w:autoSpaceDN w:val="0"/>
        <w:spacing w:after="0" w:line="360" w:lineRule="auto"/>
        <w:contextualSpacing w:val="0"/>
        <w:jc w:val="both"/>
        <w:rPr>
          <w:rFonts w:ascii="Cambria" w:hAnsi="Cambria"/>
          <w:sz w:val="24"/>
          <w:szCs w:val="24"/>
        </w:rPr>
      </w:pPr>
      <w:r w:rsidRPr="00787D28">
        <w:rPr>
          <w:rFonts w:ascii="Cambria" w:hAnsi="Cambria"/>
          <w:sz w:val="24"/>
          <w:szCs w:val="24"/>
        </w:rPr>
        <w:t>Variabel kebijakan dividen yang diukur dengan indikator DPR (X2) menunjukkan nilai rata – rata sebesar 0.432. Nilai minimum sebesar 0.123 pada PT Bank Woori Saudara Indonesia</w:t>
      </w:r>
      <w:r>
        <w:rPr>
          <w:rFonts w:ascii="Cambria" w:hAnsi="Cambria"/>
          <w:sz w:val="24"/>
          <w:szCs w:val="24"/>
          <w:lang w:val="id-ID"/>
        </w:rPr>
        <w:t xml:space="preserve">. </w:t>
      </w:r>
      <w:r w:rsidRPr="00787D28">
        <w:rPr>
          <w:rFonts w:ascii="Cambria" w:hAnsi="Cambria"/>
          <w:sz w:val="24"/>
          <w:szCs w:val="24"/>
        </w:rPr>
        <w:t>1906 ,Tbk. pada tahun 2020 sementara untuk nilai maksimum sebesar 0.859 pada PT Bank Rakyat Indonesia,Tbk pada tahun 2021 serta standar deviasi sebesar 0.173.</w:t>
      </w:r>
      <w:r w:rsidR="002C021E">
        <w:rPr>
          <w:rFonts w:ascii="Cambria" w:hAnsi="Cambria"/>
          <w:sz w:val="24"/>
          <w:szCs w:val="24"/>
          <w:lang w:val="id-ID"/>
        </w:rPr>
        <w:t xml:space="preserve">    </w:t>
      </w:r>
    </w:p>
    <w:p w14:paraId="1CD9B692" w14:textId="77777777" w:rsidR="00787D28" w:rsidRPr="00787D28" w:rsidRDefault="00787D28" w:rsidP="00787D28">
      <w:pPr>
        <w:pStyle w:val="ListParagraph"/>
        <w:widowControl w:val="0"/>
        <w:numPr>
          <w:ilvl w:val="0"/>
          <w:numId w:val="22"/>
        </w:numPr>
        <w:autoSpaceDE w:val="0"/>
        <w:autoSpaceDN w:val="0"/>
        <w:spacing w:after="0" w:line="360" w:lineRule="auto"/>
        <w:contextualSpacing w:val="0"/>
        <w:jc w:val="both"/>
        <w:rPr>
          <w:rFonts w:ascii="Cambria" w:hAnsi="Cambria"/>
          <w:sz w:val="24"/>
          <w:szCs w:val="24"/>
        </w:rPr>
      </w:pPr>
      <w:r w:rsidRPr="00787D28">
        <w:rPr>
          <w:rFonts w:ascii="Cambria" w:hAnsi="Cambria"/>
          <w:sz w:val="24"/>
          <w:szCs w:val="24"/>
        </w:rPr>
        <w:t xml:space="preserve">Variabel kebijakan utang yang diukur dengan indikator DER (X3) menunjukkan nilai rata – rata sebesar 5.828.Nilai minimum sebesar 3.261 pada PT Bank Danamon </w:t>
      </w:r>
      <w:r w:rsidRPr="00787D28">
        <w:rPr>
          <w:rFonts w:ascii="Cambria" w:hAnsi="Cambria"/>
          <w:sz w:val="24"/>
          <w:szCs w:val="24"/>
        </w:rPr>
        <w:lastRenderedPageBreak/>
        <w:t>Indonesia,Tbk.pada tahun 2019 sementara untuk nilai maksimum sebesar 11.103 pada PT Bank Pembangunan Daerah Jawa Barat dan Banten, Tbk pada tahun 2021 serta standar deviasi sebesar 1.879.</w:t>
      </w:r>
    </w:p>
    <w:p w14:paraId="673DB6B5" w14:textId="77777777" w:rsidR="00787D28" w:rsidRPr="00787D28" w:rsidRDefault="00787D28" w:rsidP="00787D28">
      <w:pPr>
        <w:pStyle w:val="ListParagraph"/>
        <w:widowControl w:val="0"/>
        <w:numPr>
          <w:ilvl w:val="0"/>
          <w:numId w:val="22"/>
        </w:numPr>
        <w:autoSpaceDE w:val="0"/>
        <w:autoSpaceDN w:val="0"/>
        <w:spacing w:after="0" w:line="360" w:lineRule="auto"/>
        <w:contextualSpacing w:val="0"/>
        <w:jc w:val="both"/>
        <w:rPr>
          <w:rFonts w:ascii="Cambria" w:hAnsi="Cambria"/>
          <w:sz w:val="24"/>
          <w:szCs w:val="24"/>
        </w:rPr>
      </w:pPr>
      <w:r w:rsidRPr="00787D28">
        <w:rPr>
          <w:rFonts w:ascii="Cambria" w:hAnsi="Cambria"/>
          <w:sz w:val="24"/>
          <w:szCs w:val="24"/>
        </w:rPr>
        <w:t>Variabel laba yang diukur dengan indikator Laba Bersih (X4) menunjukkan nilai rata – rata sebesar 10333614440000. Nilai minimum sebesar 438725000000 pada PT Bank Woori Saudara Indonesia 1906 ,Tbk. pada tahun 2021 sementara untuk nilai maksimum sebesar 34413825000000 pada PT Bank Rakyat Indonesia,Tbk pada tahun 2019 pada serta standar deviasi sebesar 11730464333861.8.</w:t>
      </w:r>
    </w:p>
    <w:p w14:paraId="45973C62" w14:textId="77777777" w:rsidR="00787D28" w:rsidRPr="00787D28" w:rsidRDefault="00787D28" w:rsidP="00787D28">
      <w:pPr>
        <w:pStyle w:val="ListParagraph"/>
        <w:widowControl w:val="0"/>
        <w:numPr>
          <w:ilvl w:val="0"/>
          <w:numId w:val="22"/>
        </w:numPr>
        <w:autoSpaceDE w:val="0"/>
        <w:autoSpaceDN w:val="0"/>
        <w:spacing w:after="0" w:line="360" w:lineRule="auto"/>
        <w:contextualSpacing w:val="0"/>
        <w:rPr>
          <w:rFonts w:ascii="Cambria" w:hAnsi="Cambria"/>
          <w:sz w:val="24"/>
          <w:szCs w:val="24"/>
        </w:rPr>
      </w:pPr>
      <w:r w:rsidRPr="00787D28">
        <w:rPr>
          <w:rFonts w:ascii="Cambria" w:hAnsi="Cambria"/>
          <w:sz w:val="24"/>
          <w:szCs w:val="24"/>
        </w:rPr>
        <w:t>Variabel Nilai Perusahaan yang diukur dengan indikator PBV (Y) menunjukkan nilai rata – rata sebesar 1.66 . Nilai minimum sebesar 0.509 pada PT Bank Danamon Indonesia,Tbk pada tahun 2021 sementara untuk nilai maksimum sebesar 4.725 pada PT Bank Central Asia,Tbk. pada tahun 2019 serta standar deviasi sebesar 1.064.</w:t>
      </w:r>
    </w:p>
    <w:p w14:paraId="40E7791D" w14:textId="77777777" w:rsidR="00787D28" w:rsidRDefault="00787D28" w:rsidP="00787D28">
      <w:pPr>
        <w:widowControl w:val="0"/>
        <w:autoSpaceDE w:val="0"/>
        <w:autoSpaceDN w:val="0"/>
        <w:spacing w:after="0" w:line="240" w:lineRule="auto"/>
        <w:jc w:val="both"/>
        <w:rPr>
          <w:rFonts w:ascii="Cambria" w:hAnsi="Cambria"/>
          <w:sz w:val="24"/>
          <w:szCs w:val="24"/>
          <w:lang w:val="id-ID"/>
        </w:rPr>
      </w:pPr>
    </w:p>
    <w:p w14:paraId="038C9B36" w14:textId="77777777" w:rsidR="00787D28" w:rsidRPr="00787D28" w:rsidRDefault="00787D28" w:rsidP="00787D28">
      <w:pPr>
        <w:pStyle w:val="Heading2"/>
        <w:keepNext w:val="0"/>
        <w:keepLines w:val="0"/>
        <w:widowControl w:val="0"/>
        <w:autoSpaceDE w:val="0"/>
        <w:autoSpaceDN w:val="0"/>
        <w:spacing w:before="0" w:after="0" w:line="240" w:lineRule="auto"/>
        <w:ind w:left="142" w:firstLine="142"/>
        <w:rPr>
          <w:rFonts w:ascii="Cambria" w:hAnsi="Cambria"/>
          <w:sz w:val="24"/>
          <w:szCs w:val="24"/>
        </w:rPr>
      </w:pPr>
      <w:r w:rsidRPr="00787D28">
        <w:rPr>
          <w:rFonts w:ascii="Cambria" w:hAnsi="Cambria"/>
          <w:sz w:val="24"/>
          <w:szCs w:val="24"/>
        </w:rPr>
        <w:t>Uji Asumsi Klasik</w:t>
      </w:r>
    </w:p>
    <w:p w14:paraId="442B2A34" w14:textId="77777777" w:rsidR="00787D28" w:rsidRPr="00787D28" w:rsidRDefault="00787D28" w:rsidP="00787D28">
      <w:pPr>
        <w:widowControl w:val="0"/>
        <w:autoSpaceDE w:val="0"/>
        <w:autoSpaceDN w:val="0"/>
        <w:spacing w:after="0" w:line="240" w:lineRule="auto"/>
        <w:ind w:left="142" w:firstLine="142"/>
        <w:rPr>
          <w:rFonts w:ascii="Cambria" w:hAnsi="Cambria"/>
          <w:b/>
          <w:sz w:val="24"/>
          <w:szCs w:val="24"/>
        </w:rPr>
      </w:pPr>
      <w:r w:rsidRPr="00787D28">
        <w:rPr>
          <w:rFonts w:ascii="Cambria" w:hAnsi="Cambria"/>
          <w:b/>
          <w:sz w:val="24"/>
          <w:szCs w:val="24"/>
        </w:rPr>
        <w:t>Uji Normalitas</w:t>
      </w:r>
    </w:p>
    <w:p w14:paraId="46FEE096" w14:textId="77777777" w:rsidR="00787D28" w:rsidRPr="00787D28" w:rsidRDefault="00787D28" w:rsidP="00787D28">
      <w:pPr>
        <w:pStyle w:val="BodyText"/>
        <w:spacing w:before="0" w:beforeAutospacing="0" w:after="0" w:afterAutospacing="0"/>
        <w:ind w:firstLine="720"/>
        <w:rPr>
          <w:rFonts w:ascii="Cambria" w:hAnsi="Cambria"/>
        </w:rPr>
      </w:pPr>
      <w:r w:rsidRPr="00787D28">
        <w:rPr>
          <w:rFonts w:ascii="Cambria" w:hAnsi="Cambria"/>
        </w:rPr>
        <w:t>Hasil uji normalitas sebagai berikut.</w:t>
      </w:r>
    </w:p>
    <w:p w14:paraId="3AFAB036" w14:textId="77777777" w:rsidR="00787D28" w:rsidRPr="00787D28" w:rsidRDefault="00787D28" w:rsidP="00787D28">
      <w:pPr>
        <w:pStyle w:val="Heading2"/>
        <w:spacing w:before="0" w:after="0"/>
        <w:jc w:val="center"/>
        <w:rPr>
          <w:rFonts w:ascii="Cambria" w:hAnsi="Cambria"/>
          <w:sz w:val="24"/>
          <w:szCs w:val="24"/>
        </w:rPr>
      </w:pPr>
      <w:r w:rsidRPr="00787D28">
        <w:rPr>
          <w:rFonts w:ascii="Cambria" w:hAnsi="Cambria"/>
          <w:sz w:val="24"/>
          <w:szCs w:val="24"/>
        </w:rPr>
        <w:t>Tabel 3.2 Hasil Uji Normalitas</w:t>
      </w:r>
    </w:p>
    <w:p w14:paraId="3E46D9AA" w14:textId="77777777" w:rsidR="00787D28" w:rsidRPr="00787D28" w:rsidRDefault="00787D28" w:rsidP="00787D28">
      <w:pPr>
        <w:pStyle w:val="BodyText"/>
        <w:spacing w:before="0" w:beforeAutospacing="0" w:after="0" w:afterAutospacing="0"/>
        <w:rPr>
          <w:rFonts w:ascii="Cambria" w:hAnsi="Cambria"/>
          <w:b/>
        </w:rPr>
      </w:pPr>
      <w:r w:rsidRPr="00787D28">
        <w:rPr>
          <w:rFonts w:ascii="Cambria" w:hAnsi="Cambria"/>
          <w:b/>
        </w:rPr>
        <w:t xml:space="preserve"> </w:t>
      </w:r>
    </w:p>
    <w:tbl>
      <w:tblPr>
        <w:tblW w:w="0" w:type="auto"/>
        <w:jc w:val="center"/>
        <w:tblLayout w:type="fixed"/>
        <w:tblCellMar>
          <w:top w:w="15" w:type="dxa"/>
          <w:left w:w="15" w:type="dxa"/>
          <w:bottom w:w="15" w:type="dxa"/>
          <w:right w:w="15" w:type="dxa"/>
        </w:tblCellMar>
        <w:tblLook w:val="04A0" w:firstRow="1" w:lastRow="0" w:firstColumn="1" w:lastColumn="0" w:noHBand="0" w:noVBand="1"/>
      </w:tblPr>
      <w:tblGrid>
        <w:gridCol w:w="750"/>
        <w:gridCol w:w="2160"/>
        <w:gridCol w:w="765"/>
        <w:gridCol w:w="915"/>
      </w:tblGrid>
      <w:tr w:rsidR="00787D28" w:rsidRPr="00787D28" w14:paraId="429EEE1C" w14:textId="77777777" w:rsidTr="00787D28">
        <w:trPr>
          <w:jc w:val="center"/>
        </w:trPr>
        <w:tc>
          <w:tcPr>
            <w:tcW w:w="4590" w:type="dxa"/>
            <w:gridSpan w:val="4"/>
            <w:tcBorders>
              <w:top w:val="outset" w:sz="6" w:space="0" w:color="auto"/>
              <w:left w:val="outset" w:sz="6" w:space="0" w:color="auto"/>
              <w:bottom w:val="outset" w:sz="6" w:space="0" w:color="auto"/>
              <w:right w:val="outset" w:sz="6" w:space="0" w:color="auto"/>
            </w:tcBorders>
            <w:hideMark/>
          </w:tcPr>
          <w:p w14:paraId="3F1924A0" w14:textId="77777777" w:rsidR="00787D28" w:rsidRPr="00787D28" w:rsidRDefault="00787D28" w:rsidP="00787D28">
            <w:pPr>
              <w:pStyle w:val="TableParagraph"/>
              <w:spacing w:before="0" w:beforeAutospacing="0" w:after="0" w:afterAutospacing="0"/>
              <w:rPr>
                <w:rFonts w:ascii="Cambria" w:eastAsia="Calibri" w:hAnsi="Cambria"/>
                <w:b/>
                <w:sz w:val="20"/>
                <w:szCs w:val="20"/>
              </w:rPr>
            </w:pPr>
            <w:r w:rsidRPr="00787D28">
              <w:rPr>
                <w:rFonts w:ascii="Cambria" w:eastAsia="Calibri" w:hAnsi="Cambria"/>
                <w:b/>
                <w:color w:val="000104"/>
                <w:sz w:val="20"/>
                <w:szCs w:val="20"/>
              </w:rPr>
              <w:t>Descriptives</w:t>
            </w:r>
          </w:p>
        </w:tc>
      </w:tr>
      <w:tr w:rsidR="00787D28" w:rsidRPr="00787D28" w14:paraId="35490C9C" w14:textId="77777777" w:rsidTr="00787D28">
        <w:trPr>
          <w:jc w:val="center"/>
        </w:trPr>
        <w:tc>
          <w:tcPr>
            <w:tcW w:w="2910" w:type="dxa"/>
            <w:gridSpan w:val="2"/>
            <w:tcBorders>
              <w:top w:val="nil"/>
              <w:left w:val="outset" w:sz="6" w:space="0" w:color="auto"/>
              <w:bottom w:val="outset" w:sz="6" w:space="0" w:color="auto"/>
              <w:right w:val="outset" w:sz="6" w:space="0" w:color="auto"/>
            </w:tcBorders>
          </w:tcPr>
          <w:p w14:paraId="662175CC" w14:textId="77777777" w:rsidR="00787D28" w:rsidRPr="00787D28" w:rsidRDefault="00787D28" w:rsidP="00787D28">
            <w:pPr>
              <w:pStyle w:val="TableParagraph"/>
              <w:spacing w:before="0" w:beforeAutospacing="0" w:after="0" w:afterAutospacing="0"/>
              <w:jc w:val="left"/>
              <w:rPr>
                <w:rFonts w:ascii="Cambria" w:eastAsia="Calibri" w:hAnsi="Cambria"/>
                <w:sz w:val="20"/>
                <w:szCs w:val="20"/>
              </w:rPr>
            </w:pPr>
          </w:p>
        </w:tc>
        <w:tc>
          <w:tcPr>
            <w:tcW w:w="765" w:type="dxa"/>
            <w:tcBorders>
              <w:top w:val="outset" w:sz="6" w:space="0" w:color="auto"/>
              <w:left w:val="outset" w:sz="6" w:space="0" w:color="auto"/>
              <w:bottom w:val="outset" w:sz="6" w:space="0" w:color="auto"/>
              <w:right w:val="outset" w:sz="6" w:space="0" w:color="auto"/>
            </w:tcBorders>
            <w:hideMark/>
          </w:tcPr>
          <w:p w14:paraId="2CB0F3D8" w14:textId="77777777" w:rsidR="00787D28" w:rsidRPr="00787D28" w:rsidRDefault="00787D28" w:rsidP="00787D28">
            <w:pPr>
              <w:pStyle w:val="TableParagraph"/>
              <w:spacing w:before="0" w:beforeAutospacing="0" w:after="0" w:afterAutospacing="0"/>
              <w:jc w:val="right"/>
              <w:rPr>
                <w:rFonts w:ascii="Cambria" w:eastAsia="Calibri" w:hAnsi="Cambria"/>
                <w:sz w:val="20"/>
                <w:szCs w:val="20"/>
              </w:rPr>
            </w:pPr>
            <w:r w:rsidRPr="00787D28">
              <w:rPr>
                <w:rFonts w:ascii="Cambria" w:eastAsia="Calibri" w:hAnsi="Cambria"/>
                <w:color w:val="25495F"/>
                <w:sz w:val="20"/>
                <w:szCs w:val="20"/>
              </w:rPr>
              <w:t>Statistic</w:t>
            </w:r>
          </w:p>
        </w:tc>
        <w:tc>
          <w:tcPr>
            <w:tcW w:w="900" w:type="dxa"/>
            <w:tcBorders>
              <w:top w:val="outset" w:sz="6" w:space="0" w:color="auto"/>
              <w:left w:val="outset" w:sz="6" w:space="0" w:color="auto"/>
              <w:bottom w:val="outset" w:sz="6" w:space="0" w:color="auto"/>
              <w:right w:val="outset" w:sz="6" w:space="0" w:color="auto"/>
            </w:tcBorders>
            <w:hideMark/>
          </w:tcPr>
          <w:p w14:paraId="1B876C0E" w14:textId="77777777" w:rsidR="00787D28" w:rsidRPr="00787D28" w:rsidRDefault="00787D28" w:rsidP="00787D28">
            <w:pPr>
              <w:pStyle w:val="TableParagraph"/>
              <w:spacing w:before="0" w:beforeAutospacing="0" w:after="0" w:afterAutospacing="0"/>
              <w:jc w:val="right"/>
              <w:rPr>
                <w:rFonts w:ascii="Cambria" w:eastAsia="Calibri" w:hAnsi="Cambria"/>
                <w:sz w:val="20"/>
                <w:szCs w:val="20"/>
              </w:rPr>
            </w:pPr>
            <w:r w:rsidRPr="00787D28">
              <w:rPr>
                <w:rFonts w:ascii="Cambria" w:eastAsia="Calibri" w:hAnsi="Cambria"/>
                <w:color w:val="25495F"/>
                <w:sz w:val="20"/>
                <w:szCs w:val="20"/>
              </w:rPr>
              <w:t>Std. Error</w:t>
            </w:r>
          </w:p>
        </w:tc>
      </w:tr>
      <w:tr w:rsidR="00787D28" w:rsidRPr="00787D28" w14:paraId="7BB4BF56" w14:textId="77777777" w:rsidTr="00787D28">
        <w:trPr>
          <w:jc w:val="center"/>
        </w:trPr>
        <w:tc>
          <w:tcPr>
            <w:tcW w:w="750" w:type="dxa"/>
            <w:vMerge w:val="restart"/>
            <w:tcBorders>
              <w:top w:val="nil"/>
              <w:left w:val="outset" w:sz="6" w:space="0" w:color="auto"/>
              <w:bottom w:val="outset" w:sz="6" w:space="0" w:color="auto"/>
              <w:right w:val="outset" w:sz="6" w:space="0" w:color="auto"/>
            </w:tcBorders>
            <w:hideMark/>
          </w:tcPr>
          <w:p w14:paraId="4E758700" w14:textId="77777777" w:rsidR="00787D28" w:rsidRPr="00787D28" w:rsidRDefault="00787D28" w:rsidP="00787D28">
            <w:pPr>
              <w:pStyle w:val="TableParagraph"/>
              <w:spacing w:before="0" w:beforeAutospacing="0" w:after="0" w:afterAutospacing="0"/>
              <w:jc w:val="left"/>
              <w:rPr>
                <w:rFonts w:ascii="Cambria" w:eastAsia="Calibri" w:hAnsi="Cambria"/>
                <w:sz w:val="20"/>
                <w:szCs w:val="20"/>
              </w:rPr>
            </w:pPr>
            <w:r w:rsidRPr="00787D28">
              <w:rPr>
                <w:rFonts w:ascii="Cambria" w:eastAsia="Calibri" w:hAnsi="Cambria"/>
                <w:color w:val="25495F"/>
                <w:sz w:val="20"/>
                <w:szCs w:val="20"/>
              </w:rPr>
              <w:t>ASET</w:t>
            </w:r>
          </w:p>
        </w:tc>
        <w:tc>
          <w:tcPr>
            <w:tcW w:w="2145" w:type="dxa"/>
            <w:tcBorders>
              <w:top w:val="nil"/>
              <w:left w:val="outset" w:sz="6" w:space="0" w:color="auto"/>
              <w:bottom w:val="outset" w:sz="6" w:space="0" w:color="auto"/>
              <w:right w:val="outset" w:sz="6" w:space="0" w:color="auto"/>
            </w:tcBorders>
            <w:hideMark/>
          </w:tcPr>
          <w:p w14:paraId="0DC8EC09" w14:textId="77777777" w:rsidR="00787D28" w:rsidRPr="00787D28" w:rsidRDefault="00787D28" w:rsidP="00787D28">
            <w:pPr>
              <w:pStyle w:val="TableParagraph"/>
              <w:spacing w:before="0" w:beforeAutospacing="0" w:after="0" w:afterAutospacing="0"/>
              <w:jc w:val="left"/>
              <w:rPr>
                <w:rFonts w:ascii="Cambria" w:eastAsia="Calibri" w:hAnsi="Cambria"/>
                <w:sz w:val="20"/>
                <w:szCs w:val="20"/>
              </w:rPr>
            </w:pPr>
            <w:r w:rsidRPr="00787D28">
              <w:rPr>
                <w:rFonts w:ascii="Cambria" w:eastAsia="Calibri" w:hAnsi="Cambria"/>
                <w:color w:val="25495F"/>
                <w:sz w:val="20"/>
                <w:szCs w:val="20"/>
              </w:rPr>
              <w:t>Skewness</w:t>
            </w:r>
          </w:p>
        </w:tc>
        <w:tc>
          <w:tcPr>
            <w:tcW w:w="765" w:type="dxa"/>
            <w:tcBorders>
              <w:top w:val="nil"/>
              <w:left w:val="outset" w:sz="6" w:space="0" w:color="auto"/>
              <w:bottom w:val="outset" w:sz="6" w:space="0" w:color="auto"/>
              <w:right w:val="outset" w:sz="6" w:space="0" w:color="auto"/>
            </w:tcBorders>
            <w:hideMark/>
          </w:tcPr>
          <w:p w14:paraId="7013D15C" w14:textId="77777777" w:rsidR="00787D28" w:rsidRPr="00787D28" w:rsidRDefault="00787D28" w:rsidP="00787D28">
            <w:pPr>
              <w:pStyle w:val="TableParagraph"/>
              <w:spacing w:before="0" w:beforeAutospacing="0" w:after="0" w:afterAutospacing="0"/>
              <w:jc w:val="right"/>
              <w:rPr>
                <w:rFonts w:ascii="Cambria" w:eastAsia="Calibri" w:hAnsi="Cambria"/>
                <w:sz w:val="20"/>
                <w:szCs w:val="20"/>
              </w:rPr>
            </w:pPr>
            <w:r w:rsidRPr="00787D28">
              <w:rPr>
                <w:rFonts w:ascii="Cambria" w:eastAsia="Calibri" w:hAnsi="Cambria"/>
                <w:color w:val="000104"/>
                <w:sz w:val="20"/>
                <w:szCs w:val="20"/>
              </w:rPr>
              <w:t>0.786</w:t>
            </w:r>
          </w:p>
        </w:tc>
        <w:tc>
          <w:tcPr>
            <w:tcW w:w="900" w:type="dxa"/>
            <w:tcBorders>
              <w:top w:val="outset" w:sz="6" w:space="0" w:color="auto"/>
              <w:left w:val="outset" w:sz="6" w:space="0" w:color="auto"/>
              <w:bottom w:val="outset" w:sz="6" w:space="0" w:color="auto"/>
              <w:right w:val="outset" w:sz="6" w:space="0" w:color="auto"/>
            </w:tcBorders>
            <w:hideMark/>
          </w:tcPr>
          <w:p w14:paraId="4353AA30" w14:textId="77777777" w:rsidR="00787D28" w:rsidRPr="00787D28" w:rsidRDefault="00787D28" w:rsidP="00787D28">
            <w:pPr>
              <w:pStyle w:val="TableParagraph"/>
              <w:spacing w:before="0" w:beforeAutospacing="0" w:after="0" w:afterAutospacing="0"/>
              <w:jc w:val="right"/>
              <w:rPr>
                <w:rFonts w:ascii="Cambria" w:eastAsia="Calibri" w:hAnsi="Cambria"/>
                <w:sz w:val="20"/>
                <w:szCs w:val="20"/>
              </w:rPr>
            </w:pPr>
            <w:r w:rsidRPr="00787D28">
              <w:rPr>
                <w:rFonts w:ascii="Cambria" w:eastAsia="Calibri" w:hAnsi="Cambria"/>
                <w:color w:val="000104"/>
                <w:sz w:val="20"/>
                <w:szCs w:val="20"/>
              </w:rPr>
              <w:t>0.337</w:t>
            </w:r>
          </w:p>
        </w:tc>
      </w:tr>
      <w:tr w:rsidR="00787D28" w:rsidRPr="00787D28" w14:paraId="1D738724" w14:textId="77777777" w:rsidTr="00787D28">
        <w:trPr>
          <w:jc w:val="center"/>
        </w:trPr>
        <w:tc>
          <w:tcPr>
            <w:tcW w:w="4590" w:type="dxa"/>
            <w:vMerge/>
            <w:tcBorders>
              <w:top w:val="nil"/>
              <w:left w:val="outset" w:sz="6" w:space="0" w:color="auto"/>
              <w:bottom w:val="outset" w:sz="6" w:space="0" w:color="auto"/>
              <w:right w:val="outset" w:sz="6" w:space="0" w:color="auto"/>
            </w:tcBorders>
            <w:vAlign w:val="center"/>
            <w:hideMark/>
          </w:tcPr>
          <w:p w14:paraId="601D4685" w14:textId="77777777" w:rsidR="00787D28" w:rsidRPr="00787D28" w:rsidRDefault="00787D28" w:rsidP="00787D28">
            <w:pPr>
              <w:spacing w:after="0"/>
              <w:rPr>
                <w:rFonts w:ascii="Cambria" w:hAnsi="Cambria"/>
                <w:sz w:val="20"/>
                <w:szCs w:val="20"/>
              </w:rPr>
            </w:pPr>
          </w:p>
        </w:tc>
        <w:tc>
          <w:tcPr>
            <w:tcW w:w="2145" w:type="dxa"/>
            <w:tcBorders>
              <w:top w:val="nil"/>
              <w:left w:val="outset" w:sz="6" w:space="0" w:color="auto"/>
              <w:bottom w:val="outset" w:sz="6" w:space="0" w:color="auto"/>
              <w:right w:val="outset" w:sz="6" w:space="0" w:color="auto"/>
            </w:tcBorders>
            <w:hideMark/>
          </w:tcPr>
          <w:p w14:paraId="5E2734F4" w14:textId="77777777" w:rsidR="00787D28" w:rsidRPr="00787D28" w:rsidRDefault="00787D28" w:rsidP="00787D28">
            <w:pPr>
              <w:pStyle w:val="TableParagraph"/>
              <w:spacing w:before="0" w:beforeAutospacing="0" w:after="0" w:afterAutospacing="0"/>
              <w:jc w:val="left"/>
              <w:rPr>
                <w:rFonts w:ascii="Cambria" w:eastAsia="Calibri" w:hAnsi="Cambria"/>
                <w:sz w:val="20"/>
                <w:szCs w:val="20"/>
              </w:rPr>
            </w:pPr>
            <w:r w:rsidRPr="00787D28">
              <w:rPr>
                <w:rFonts w:ascii="Cambria" w:eastAsia="Calibri" w:hAnsi="Cambria"/>
                <w:color w:val="25495F"/>
                <w:sz w:val="20"/>
                <w:szCs w:val="20"/>
              </w:rPr>
              <w:t>Kurtosis</w:t>
            </w:r>
          </w:p>
        </w:tc>
        <w:tc>
          <w:tcPr>
            <w:tcW w:w="765" w:type="dxa"/>
            <w:tcBorders>
              <w:top w:val="nil"/>
              <w:left w:val="outset" w:sz="6" w:space="0" w:color="auto"/>
              <w:bottom w:val="outset" w:sz="6" w:space="0" w:color="auto"/>
              <w:right w:val="outset" w:sz="6" w:space="0" w:color="auto"/>
            </w:tcBorders>
            <w:hideMark/>
          </w:tcPr>
          <w:p w14:paraId="21277046" w14:textId="77777777" w:rsidR="00787D28" w:rsidRPr="00787D28" w:rsidRDefault="00787D28" w:rsidP="00787D28">
            <w:pPr>
              <w:pStyle w:val="TableParagraph"/>
              <w:spacing w:before="0" w:beforeAutospacing="0" w:after="0" w:afterAutospacing="0"/>
              <w:jc w:val="right"/>
              <w:rPr>
                <w:rFonts w:ascii="Cambria" w:eastAsia="Calibri" w:hAnsi="Cambria"/>
                <w:sz w:val="20"/>
                <w:szCs w:val="20"/>
              </w:rPr>
            </w:pPr>
            <w:r w:rsidRPr="00787D28">
              <w:rPr>
                <w:rFonts w:ascii="Cambria" w:eastAsia="Calibri" w:hAnsi="Cambria"/>
                <w:color w:val="000104"/>
                <w:sz w:val="20"/>
                <w:szCs w:val="20"/>
              </w:rPr>
              <w:t>-0.913</w:t>
            </w:r>
          </w:p>
        </w:tc>
        <w:tc>
          <w:tcPr>
            <w:tcW w:w="900" w:type="dxa"/>
            <w:tcBorders>
              <w:top w:val="nil"/>
              <w:left w:val="outset" w:sz="6" w:space="0" w:color="auto"/>
              <w:bottom w:val="outset" w:sz="6" w:space="0" w:color="auto"/>
              <w:right w:val="outset" w:sz="6" w:space="0" w:color="auto"/>
            </w:tcBorders>
            <w:hideMark/>
          </w:tcPr>
          <w:p w14:paraId="010AFC09" w14:textId="77777777" w:rsidR="00787D28" w:rsidRPr="00787D28" w:rsidRDefault="00787D28" w:rsidP="00787D28">
            <w:pPr>
              <w:pStyle w:val="TableParagraph"/>
              <w:spacing w:before="0" w:beforeAutospacing="0" w:after="0" w:afterAutospacing="0"/>
              <w:jc w:val="right"/>
              <w:rPr>
                <w:rFonts w:ascii="Cambria" w:eastAsia="Calibri" w:hAnsi="Cambria"/>
                <w:sz w:val="20"/>
                <w:szCs w:val="20"/>
              </w:rPr>
            </w:pPr>
            <w:r w:rsidRPr="00787D28">
              <w:rPr>
                <w:rFonts w:ascii="Cambria" w:eastAsia="Calibri" w:hAnsi="Cambria"/>
                <w:color w:val="000104"/>
                <w:sz w:val="20"/>
                <w:szCs w:val="20"/>
              </w:rPr>
              <w:t>0.662</w:t>
            </w:r>
          </w:p>
        </w:tc>
      </w:tr>
      <w:tr w:rsidR="00787D28" w:rsidRPr="00787D28" w14:paraId="51E482E2" w14:textId="77777777" w:rsidTr="00787D28">
        <w:trPr>
          <w:jc w:val="center"/>
        </w:trPr>
        <w:tc>
          <w:tcPr>
            <w:tcW w:w="750" w:type="dxa"/>
            <w:vMerge w:val="restart"/>
            <w:tcBorders>
              <w:top w:val="nil"/>
              <w:left w:val="outset" w:sz="6" w:space="0" w:color="auto"/>
              <w:bottom w:val="outset" w:sz="6" w:space="0" w:color="auto"/>
              <w:right w:val="outset" w:sz="6" w:space="0" w:color="auto"/>
            </w:tcBorders>
            <w:hideMark/>
          </w:tcPr>
          <w:p w14:paraId="74142773" w14:textId="77777777" w:rsidR="00787D28" w:rsidRPr="00787D28" w:rsidRDefault="00787D28" w:rsidP="00787D28">
            <w:pPr>
              <w:pStyle w:val="TableParagraph"/>
              <w:spacing w:before="0" w:beforeAutospacing="0" w:after="0" w:afterAutospacing="0"/>
              <w:jc w:val="left"/>
              <w:rPr>
                <w:rFonts w:ascii="Cambria" w:eastAsia="Calibri" w:hAnsi="Cambria"/>
                <w:sz w:val="20"/>
                <w:szCs w:val="20"/>
              </w:rPr>
            </w:pPr>
            <w:r w:rsidRPr="00787D28">
              <w:rPr>
                <w:rFonts w:ascii="Cambria" w:eastAsia="Calibri" w:hAnsi="Cambria"/>
                <w:color w:val="25495F"/>
                <w:sz w:val="20"/>
                <w:szCs w:val="20"/>
              </w:rPr>
              <w:t>DPR</w:t>
            </w:r>
          </w:p>
        </w:tc>
        <w:tc>
          <w:tcPr>
            <w:tcW w:w="2145" w:type="dxa"/>
            <w:tcBorders>
              <w:top w:val="nil"/>
              <w:left w:val="outset" w:sz="6" w:space="0" w:color="auto"/>
              <w:bottom w:val="outset" w:sz="6" w:space="0" w:color="auto"/>
              <w:right w:val="outset" w:sz="6" w:space="0" w:color="auto"/>
            </w:tcBorders>
            <w:hideMark/>
          </w:tcPr>
          <w:p w14:paraId="443A5509" w14:textId="77777777" w:rsidR="00787D28" w:rsidRPr="00787D28" w:rsidRDefault="00787D28" w:rsidP="00787D28">
            <w:pPr>
              <w:pStyle w:val="TableParagraph"/>
              <w:spacing w:before="0" w:beforeAutospacing="0" w:after="0" w:afterAutospacing="0"/>
              <w:jc w:val="left"/>
              <w:rPr>
                <w:rFonts w:ascii="Cambria" w:eastAsia="Calibri" w:hAnsi="Cambria"/>
                <w:sz w:val="20"/>
                <w:szCs w:val="20"/>
              </w:rPr>
            </w:pPr>
            <w:r w:rsidRPr="00787D28">
              <w:rPr>
                <w:rFonts w:ascii="Cambria" w:eastAsia="Calibri" w:hAnsi="Cambria"/>
                <w:color w:val="25495F"/>
                <w:sz w:val="20"/>
                <w:szCs w:val="20"/>
              </w:rPr>
              <w:t>Skewness</w:t>
            </w:r>
          </w:p>
        </w:tc>
        <w:tc>
          <w:tcPr>
            <w:tcW w:w="765" w:type="dxa"/>
            <w:tcBorders>
              <w:top w:val="nil"/>
              <w:left w:val="outset" w:sz="6" w:space="0" w:color="auto"/>
              <w:bottom w:val="outset" w:sz="6" w:space="0" w:color="auto"/>
              <w:right w:val="outset" w:sz="6" w:space="0" w:color="auto"/>
            </w:tcBorders>
            <w:hideMark/>
          </w:tcPr>
          <w:p w14:paraId="0CDD0BDF" w14:textId="77777777" w:rsidR="00787D28" w:rsidRPr="00787D28" w:rsidRDefault="00787D28" w:rsidP="00787D28">
            <w:pPr>
              <w:pStyle w:val="TableParagraph"/>
              <w:spacing w:before="0" w:beforeAutospacing="0" w:after="0" w:afterAutospacing="0"/>
              <w:jc w:val="right"/>
              <w:rPr>
                <w:rFonts w:ascii="Cambria" w:eastAsia="Calibri" w:hAnsi="Cambria"/>
                <w:sz w:val="20"/>
                <w:szCs w:val="20"/>
              </w:rPr>
            </w:pPr>
            <w:r w:rsidRPr="00787D28">
              <w:rPr>
                <w:rFonts w:ascii="Cambria" w:eastAsia="Calibri" w:hAnsi="Cambria"/>
                <w:color w:val="000104"/>
                <w:sz w:val="20"/>
                <w:szCs w:val="20"/>
              </w:rPr>
              <w:t>0.132</w:t>
            </w:r>
          </w:p>
        </w:tc>
        <w:tc>
          <w:tcPr>
            <w:tcW w:w="900" w:type="dxa"/>
            <w:tcBorders>
              <w:top w:val="nil"/>
              <w:left w:val="outset" w:sz="6" w:space="0" w:color="auto"/>
              <w:bottom w:val="outset" w:sz="6" w:space="0" w:color="auto"/>
              <w:right w:val="outset" w:sz="6" w:space="0" w:color="auto"/>
            </w:tcBorders>
            <w:hideMark/>
          </w:tcPr>
          <w:p w14:paraId="171D1613" w14:textId="77777777" w:rsidR="00787D28" w:rsidRPr="00787D28" w:rsidRDefault="00787D28" w:rsidP="00787D28">
            <w:pPr>
              <w:pStyle w:val="TableParagraph"/>
              <w:spacing w:before="0" w:beforeAutospacing="0" w:after="0" w:afterAutospacing="0"/>
              <w:jc w:val="right"/>
              <w:rPr>
                <w:rFonts w:ascii="Cambria" w:eastAsia="Calibri" w:hAnsi="Cambria"/>
                <w:sz w:val="20"/>
                <w:szCs w:val="20"/>
              </w:rPr>
            </w:pPr>
            <w:r w:rsidRPr="00787D28">
              <w:rPr>
                <w:rFonts w:ascii="Cambria" w:eastAsia="Calibri" w:hAnsi="Cambria"/>
                <w:color w:val="000104"/>
                <w:sz w:val="20"/>
                <w:szCs w:val="20"/>
              </w:rPr>
              <w:t>0.337</w:t>
            </w:r>
          </w:p>
        </w:tc>
      </w:tr>
      <w:tr w:rsidR="00787D28" w:rsidRPr="00787D28" w14:paraId="6A8B2A29" w14:textId="77777777" w:rsidTr="00787D28">
        <w:trPr>
          <w:jc w:val="center"/>
        </w:trPr>
        <w:tc>
          <w:tcPr>
            <w:tcW w:w="4590" w:type="dxa"/>
            <w:vMerge/>
            <w:tcBorders>
              <w:top w:val="nil"/>
              <w:left w:val="outset" w:sz="6" w:space="0" w:color="auto"/>
              <w:bottom w:val="outset" w:sz="6" w:space="0" w:color="auto"/>
              <w:right w:val="outset" w:sz="6" w:space="0" w:color="auto"/>
            </w:tcBorders>
            <w:vAlign w:val="center"/>
            <w:hideMark/>
          </w:tcPr>
          <w:p w14:paraId="467E09D8" w14:textId="77777777" w:rsidR="00787D28" w:rsidRPr="00787D28" w:rsidRDefault="00787D28" w:rsidP="00787D28">
            <w:pPr>
              <w:spacing w:after="0"/>
              <w:rPr>
                <w:rFonts w:ascii="Cambria" w:hAnsi="Cambria"/>
                <w:sz w:val="20"/>
                <w:szCs w:val="20"/>
              </w:rPr>
            </w:pPr>
          </w:p>
        </w:tc>
        <w:tc>
          <w:tcPr>
            <w:tcW w:w="2145" w:type="dxa"/>
            <w:tcBorders>
              <w:top w:val="nil"/>
              <w:left w:val="outset" w:sz="6" w:space="0" w:color="auto"/>
              <w:bottom w:val="outset" w:sz="6" w:space="0" w:color="auto"/>
              <w:right w:val="outset" w:sz="6" w:space="0" w:color="auto"/>
            </w:tcBorders>
            <w:hideMark/>
          </w:tcPr>
          <w:p w14:paraId="6C4C72F7" w14:textId="77777777" w:rsidR="00787D28" w:rsidRPr="00787D28" w:rsidRDefault="00787D28" w:rsidP="00787D28">
            <w:pPr>
              <w:pStyle w:val="TableParagraph"/>
              <w:spacing w:before="0" w:beforeAutospacing="0" w:after="0" w:afterAutospacing="0"/>
              <w:jc w:val="left"/>
              <w:rPr>
                <w:rFonts w:ascii="Cambria" w:eastAsia="Calibri" w:hAnsi="Cambria"/>
                <w:sz w:val="20"/>
                <w:szCs w:val="20"/>
              </w:rPr>
            </w:pPr>
            <w:r w:rsidRPr="00787D28">
              <w:rPr>
                <w:rFonts w:ascii="Cambria" w:eastAsia="Calibri" w:hAnsi="Cambria"/>
                <w:color w:val="25495F"/>
                <w:sz w:val="20"/>
                <w:szCs w:val="20"/>
              </w:rPr>
              <w:t>Kurtosis</w:t>
            </w:r>
          </w:p>
        </w:tc>
        <w:tc>
          <w:tcPr>
            <w:tcW w:w="765" w:type="dxa"/>
            <w:tcBorders>
              <w:top w:val="nil"/>
              <w:left w:val="outset" w:sz="6" w:space="0" w:color="auto"/>
              <w:bottom w:val="outset" w:sz="6" w:space="0" w:color="auto"/>
              <w:right w:val="outset" w:sz="6" w:space="0" w:color="auto"/>
            </w:tcBorders>
            <w:hideMark/>
          </w:tcPr>
          <w:p w14:paraId="4BE36338" w14:textId="77777777" w:rsidR="00787D28" w:rsidRPr="00787D28" w:rsidRDefault="00787D28" w:rsidP="00787D28">
            <w:pPr>
              <w:pStyle w:val="TableParagraph"/>
              <w:spacing w:before="0" w:beforeAutospacing="0" w:after="0" w:afterAutospacing="0"/>
              <w:jc w:val="right"/>
              <w:rPr>
                <w:rFonts w:ascii="Cambria" w:eastAsia="Calibri" w:hAnsi="Cambria"/>
                <w:sz w:val="20"/>
                <w:szCs w:val="20"/>
              </w:rPr>
            </w:pPr>
            <w:r w:rsidRPr="00787D28">
              <w:rPr>
                <w:rFonts w:ascii="Cambria" w:eastAsia="Calibri" w:hAnsi="Cambria"/>
                <w:color w:val="000104"/>
                <w:sz w:val="20"/>
                <w:szCs w:val="20"/>
              </w:rPr>
              <w:t>-0.783</w:t>
            </w:r>
          </w:p>
        </w:tc>
        <w:tc>
          <w:tcPr>
            <w:tcW w:w="900" w:type="dxa"/>
            <w:tcBorders>
              <w:top w:val="nil"/>
              <w:left w:val="outset" w:sz="6" w:space="0" w:color="auto"/>
              <w:bottom w:val="outset" w:sz="6" w:space="0" w:color="auto"/>
              <w:right w:val="outset" w:sz="6" w:space="0" w:color="auto"/>
            </w:tcBorders>
            <w:hideMark/>
          </w:tcPr>
          <w:p w14:paraId="6D622DFD" w14:textId="77777777" w:rsidR="00787D28" w:rsidRPr="00787D28" w:rsidRDefault="00787D28" w:rsidP="00787D28">
            <w:pPr>
              <w:pStyle w:val="TableParagraph"/>
              <w:spacing w:before="0" w:beforeAutospacing="0" w:after="0" w:afterAutospacing="0"/>
              <w:jc w:val="right"/>
              <w:rPr>
                <w:rFonts w:ascii="Cambria" w:eastAsia="Calibri" w:hAnsi="Cambria"/>
                <w:sz w:val="20"/>
                <w:szCs w:val="20"/>
              </w:rPr>
            </w:pPr>
            <w:r w:rsidRPr="00787D28">
              <w:rPr>
                <w:rFonts w:ascii="Cambria" w:eastAsia="Calibri" w:hAnsi="Cambria"/>
                <w:color w:val="000104"/>
                <w:sz w:val="20"/>
                <w:szCs w:val="20"/>
              </w:rPr>
              <w:t>0.662</w:t>
            </w:r>
          </w:p>
        </w:tc>
      </w:tr>
      <w:tr w:rsidR="00787D28" w:rsidRPr="00787D28" w14:paraId="13463AE2" w14:textId="77777777" w:rsidTr="00787D28">
        <w:trPr>
          <w:jc w:val="center"/>
        </w:trPr>
        <w:tc>
          <w:tcPr>
            <w:tcW w:w="750" w:type="dxa"/>
            <w:vMerge w:val="restart"/>
            <w:tcBorders>
              <w:top w:val="nil"/>
              <w:left w:val="outset" w:sz="6" w:space="0" w:color="auto"/>
              <w:bottom w:val="outset" w:sz="6" w:space="0" w:color="auto"/>
              <w:right w:val="outset" w:sz="6" w:space="0" w:color="auto"/>
            </w:tcBorders>
            <w:hideMark/>
          </w:tcPr>
          <w:p w14:paraId="77DD4C45" w14:textId="77777777" w:rsidR="00787D28" w:rsidRPr="00787D28" w:rsidRDefault="00787D28" w:rsidP="00787D28">
            <w:pPr>
              <w:pStyle w:val="TableParagraph"/>
              <w:spacing w:before="0" w:beforeAutospacing="0" w:after="0" w:afterAutospacing="0"/>
              <w:jc w:val="left"/>
              <w:rPr>
                <w:rFonts w:ascii="Cambria" w:eastAsia="Calibri" w:hAnsi="Cambria"/>
                <w:sz w:val="20"/>
                <w:szCs w:val="20"/>
              </w:rPr>
            </w:pPr>
            <w:r w:rsidRPr="00787D28">
              <w:rPr>
                <w:rFonts w:ascii="Cambria" w:eastAsia="Calibri" w:hAnsi="Cambria"/>
                <w:color w:val="25495F"/>
                <w:sz w:val="20"/>
                <w:szCs w:val="20"/>
              </w:rPr>
              <w:t>DER</w:t>
            </w:r>
          </w:p>
        </w:tc>
        <w:tc>
          <w:tcPr>
            <w:tcW w:w="2145" w:type="dxa"/>
            <w:tcBorders>
              <w:top w:val="nil"/>
              <w:left w:val="outset" w:sz="6" w:space="0" w:color="auto"/>
              <w:bottom w:val="outset" w:sz="6" w:space="0" w:color="auto"/>
              <w:right w:val="outset" w:sz="6" w:space="0" w:color="auto"/>
            </w:tcBorders>
            <w:hideMark/>
          </w:tcPr>
          <w:p w14:paraId="7FC3EA0D" w14:textId="77777777" w:rsidR="00787D28" w:rsidRPr="00787D28" w:rsidRDefault="00787D28" w:rsidP="00787D28">
            <w:pPr>
              <w:pStyle w:val="TableParagraph"/>
              <w:spacing w:before="0" w:beforeAutospacing="0" w:after="0" w:afterAutospacing="0"/>
              <w:jc w:val="left"/>
              <w:rPr>
                <w:rFonts w:ascii="Cambria" w:eastAsia="Calibri" w:hAnsi="Cambria"/>
                <w:sz w:val="20"/>
                <w:szCs w:val="20"/>
              </w:rPr>
            </w:pPr>
            <w:r w:rsidRPr="00787D28">
              <w:rPr>
                <w:rFonts w:ascii="Cambria" w:eastAsia="Calibri" w:hAnsi="Cambria"/>
                <w:color w:val="25495F"/>
                <w:sz w:val="20"/>
                <w:szCs w:val="20"/>
              </w:rPr>
              <w:t>Skewness</w:t>
            </w:r>
          </w:p>
        </w:tc>
        <w:tc>
          <w:tcPr>
            <w:tcW w:w="765" w:type="dxa"/>
            <w:tcBorders>
              <w:top w:val="nil"/>
              <w:left w:val="outset" w:sz="6" w:space="0" w:color="auto"/>
              <w:bottom w:val="outset" w:sz="6" w:space="0" w:color="auto"/>
              <w:right w:val="outset" w:sz="6" w:space="0" w:color="auto"/>
            </w:tcBorders>
            <w:hideMark/>
          </w:tcPr>
          <w:p w14:paraId="19F6DFA6" w14:textId="77777777" w:rsidR="00787D28" w:rsidRPr="00787D28" w:rsidRDefault="00787D28" w:rsidP="00787D28">
            <w:pPr>
              <w:pStyle w:val="TableParagraph"/>
              <w:spacing w:before="0" w:beforeAutospacing="0" w:after="0" w:afterAutospacing="0"/>
              <w:jc w:val="right"/>
              <w:rPr>
                <w:rFonts w:ascii="Cambria" w:eastAsia="Calibri" w:hAnsi="Cambria"/>
                <w:sz w:val="20"/>
                <w:szCs w:val="20"/>
              </w:rPr>
            </w:pPr>
            <w:r w:rsidRPr="00787D28">
              <w:rPr>
                <w:rFonts w:ascii="Cambria" w:eastAsia="Calibri" w:hAnsi="Cambria"/>
                <w:color w:val="000104"/>
                <w:sz w:val="20"/>
                <w:szCs w:val="20"/>
              </w:rPr>
              <w:t>1.114</w:t>
            </w:r>
          </w:p>
        </w:tc>
        <w:tc>
          <w:tcPr>
            <w:tcW w:w="900" w:type="dxa"/>
            <w:tcBorders>
              <w:top w:val="nil"/>
              <w:left w:val="outset" w:sz="6" w:space="0" w:color="auto"/>
              <w:bottom w:val="outset" w:sz="6" w:space="0" w:color="auto"/>
              <w:right w:val="outset" w:sz="6" w:space="0" w:color="auto"/>
            </w:tcBorders>
            <w:hideMark/>
          </w:tcPr>
          <w:p w14:paraId="2EEE9E93" w14:textId="77777777" w:rsidR="00787D28" w:rsidRPr="00787D28" w:rsidRDefault="00787D28" w:rsidP="00787D28">
            <w:pPr>
              <w:pStyle w:val="TableParagraph"/>
              <w:spacing w:before="0" w:beforeAutospacing="0" w:after="0" w:afterAutospacing="0"/>
              <w:jc w:val="right"/>
              <w:rPr>
                <w:rFonts w:ascii="Cambria" w:eastAsia="Calibri" w:hAnsi="Cambria"/>
                <w:sz w:val="20"/>
                <w:szCs w:val="20"/>
              </w:rPr>
            </w:pPr>
            <w:r w:rsidRPr="00787D28">
              <w:rPr>
                <w:rFonts w:ascii="Cambria" w:eastAsia="Calibri" w:hAnsi="Cambria"/>
                <w:color w:val="000104"/>
                <w:sz w:val="20"/>
                <w:szCs w:val="20"/>
              </w:rPr>
              <w:t>0.337</w:t>
            </w:r>
          </w:p>
        </w:tc>
      </w:tr>
      <w:tr w:rsidR="00787D28" w:rsidRPr="00787D28" w14:paraId="51F851D7" w14:textId="77777777" w:rsidTr="00787D28">
        <w:trPr>
          <w:jc w:val="center"/>
        </w:trPr>
        <w:tc>
          <w:tcPr>
            <w:tcW w:w="4590" w:type="dxa"/>
            <w:vMerge/>
            <w:tcBorders>
              <w:top w:val="nil"/>
              <w:left w:val="outset" w:sz="6" w:space="0" w:color="auto"/>
              <w:bottom w:val="outset" w:sz="6" w:space="0" w:color="auto"/>
              <w:right w:val="outset" w:sz="6" w:space="0" w:color="auto"/>
            </w:tcBorders>
            <w:vAlign w:val="center"/>
            <w:hideMark/>
          </w:tcPr>
          <w:p w14:paraId="084D9C8A" w14:textId="77777777" w:rsidR="00787D28" w:rsidRPr="00787D28" w:rsidRDefault="00787D28" w:rsidP="00787D28">
            <w:pPr>
              <w:spacing w:after="0"/>
              <w:rPr>
                <w:rFonts w:ascii="Cambria" w:hAnsi="Cambria"/>
                <w:sz w:val="20"/>
                <w:szCs w:val="20"/>
              </w:rPr>
            </w:pPr>
          </w:p>
        </w:tc>
        <w:tc>
          <w:tcPr>
            <w:tcW w:w="2145" w:type="dxa"/>
            <w:tcBorders>
              <w:top w:val="nil"/>
              <w:left w:val="outset" w:sz="6" w:space="0" w:color="auto"/>
              <w:bottom w:val="outset" w:sz="6" w:space="0" w:color="auto"/>
              <w:right w:val="outset" w:sz="6" w:space="0" w:color="auto"/>
            </w:tcBorders>
            <w:hideMark/>
          </w:tcPr>
          <w:p w14:paraId="247B0299" w14:textId="77777777" w:rsidR="00787D28" w:rsidRPr="00787D28" w:rsidRDefault="00787D28" w:rsidP="00787D28">
            <w:pPr>
              <w:pStyle w:val="TableParagraph"/>
              <w:spacing w:before="0" w:beforeAutospacing="0" w:after="0" w:afterAutospacing="0"/>
              <w:jc w:val="left"/>
              <w:rPr>
                <w:rFonts w:ascii="Cambria" w:eastAsia="Calibri" w:hAnsi="Cambria"/>
                <w:sz w:val="20"/>
                <w:szCs w:val="20"/>
              </w:rPr>
            </w:pPr>
            <w:r w:rsidRPr="00787D28">
              <w:rPr>
                <w:rFonts w:ascii="Cambria" w:eastAsia="Calibri" w:hAnsi="Cambria"/>
                <w:color w:val="25495F"/>
                <w:sz w:val="20"/>
                <w:szCs w:val="20"/>
              </w:rPr>
              <w:t>Kurtosis</w:t>
            </w:r>
          </w:p>
        </w:tc>
        <w:tc>
          <w:tcPr>
            <w:tcW w:w="765" w:type="dxa"/>
            <w:tcBorders>
              <w:top w:val="nil"/>
              <w:left w:val="outset" w:sz="6" w:space="0" w:color="auto"/>
              <w:bottom w:val="outset" w:sz="6" w:space="0" w:color="auto"/>
              <w:right w:val="outset" w:sz="6" w:space="0" w:color="auto"/>
            </w:tcBorders>
            <w:hideMark/>
          </w:tcPr>
          <w:p w14:paraId="1E1F5E5B" w14:textId="77777777" w:rsidR="00787D28" w:rsidRPr="00787D28" w:rsidRDefault="00787D28" w:rsidP="00787D28">
            <w:pPr>
              <w:pStyle w:val="TableParagraph"/>
              <w:spacing w:before="0" w:beforeAutospacing="0" w:after="0" w:afterAutospacing="0"/>
              <w:jc w:val="right"/>
              <w:rPr>
                <w:rFonts w:ascii="Cambria" w:eastAsia="Calibri" w:hAnsi="Cambria"/>
                <w:sz w:val="20"/>
                <w:szCs w:val="20"/>
              </w:rPr>
            </w:pPr>
            <w:r w:rsidRPr="00787D28">
              <w:rPr>
                <w:rFonts w:ascii="Cambria" w:eastAsia="Calibri" w:hAnsi="Cambria"/>
                <w:color w:val="000104"/>
                <w:sz w:val="20"/>
                <w:szCs w:val="20"/>
              </w:rPr>
              <w:t>1.192</w:t>
            </w:r>
          </w:p>
        </w:tc>
        <w:tc>
          <w:tcPr>
            <w:tcW w:w="900" w:type="dxa"/>
            <w:tcBorders>
              <w:top w:val="nil"/>
              <w:left w:val="outset" w:sz="6" w:space="0" w:color="auto"/>
              <w:bottom w:val="outset" w:sz="6" w:space="0" w:color="auto"/>
              <w:right w:val="outset" w:sz="6" w:space="0" w:color="auto"/>
            </w:tcBorders>
            <w:hideMark/>
          </w:tcPr>
          <w:p w14:paraId="34739A6F" w14:textId="77777777" w:rsidR="00787D28" w:rsidRPr="00787D28" w:rsidRDefault="00787D28" w:rsidP="00787D28">
            <w:pPr>
              <w:pStyle w:val="TableParagraph"/>
              <w:spacing w:before="0" w:beforeAutospacing="0" w:after="0" w:afterAutospacing="0"/>
              <w:jc w:val="right"/>
              <w:rPr>
                <w:rFonts w:ascii="Cambria" w:eastAsia="Calibri" w:hAnsi="Cambria"/>
                <w:sz w:val="20"/>
                <w:szCs w:val="20"/>
              </w:rPr>
            </w:pPr>
            <w:r w:rsidRPr="00787D28">
              <w:rPr>
                <w:rFonts w:ascii="Cambria" w:eastAsia="Calibri" w:hAnsi="Cambria"/>
                <w:color w:val="000104"/>
                <w:sz w:val="20"/>
                <w:szCs w:val="20"/>
              </w:rPr>
              <w:t>0.662</w:t>
            </w:r>
          </w:p>
        </w:tc>
      </w:tr>
      <w:tr w:rsidR="00787D28" w:rsidRPr="00787D28" w14:paraId="54CDFF54" w14:textId="77777777" w:rsidTr="00787D28">
        <w:trPr>
          <w:jc w:val="center"/>
        </w:trPr>
        <w:tc>
          <w:tcPr>
            <w:tcW w:w="750" w:type="dxa"/>
            <w:vMerge w:val="restart"/>
            <w:tcBorders>
              <w:top w:val="nil"/>
              <w:left w:val="outset" w:sz="6" w:space="0" w:color="auto"/>
              <w:bottom w:val="outset" w:sz="6" w:space="0" w:color="auto"/>
              <w:right w:val="outset" w:sz="6" w:space="0" w:color="auto"/>
            </w:tcBorders>
            <w:hideMark/>
          </w:tcPr>
          <w:p w14:paraId="3E6883D1" w14:textId="77777777" w:rsidR="00787D28" w:rsidRPr="00787D28" w:rsidRDefault="00787D28" w:rsidP="00787D28">
            <w:pPr>
              <w:pStyle w:val="TableParagraph"/>
              <w:spacing w:before="0" w:beforeAutospacing="0" w:after="0" w:afterAutospacing="0"/>
              <w:jc w:val="left"/>
              <w:rPr>
                <w:rFonts w:ascii="Cambria" w:eastAsia="Calibri" w:hAnsi="Cambria"/>
                <w:sz w:val="20"/>
                <w:szCs w:val="20"/>
              </w:rPr>
            </w:pPr>
            <w:r w:rsidRPr="00787D28">
              <w:rPr>
                <w:rFonts w:ascii="Cambria" w:eastAsia="Calibri" w:hAnsi="Cambria"/>
                <w:color w:val="25495F"/>
                <w:sz w:val="20"/>
                <w:szCs w:val="20"/>
              </w:rPr>
              <w:t>LABA</w:t>
            </w:r>
          </w:p>
        </w:tc>
        <w:tc>
          <w:tcPr>
            <w:tcW w:w="2145" w:type="dxa"/>
            <w:tcBorders>
              <w:top w:val="nil"/>
              <w:left w:val="outset" w:sz="6" w:space="0" w:color="auto"/>
              <w:bottom w:val="outset" w:sz="6" w:space="0" w:color="auto"/>
              <w:right w:val="outset" w:sz="6" w:space="0" w:color="auto"/>
            </w:tcBorders>
            <w:hideMark/>
          </w:tcPr>
          <w:p w14:paraId="4A95B32E" w14:textId="77777777" w:rsidR="00787D28" w:rsidRPr="00787D28" w:rsidRDefault="00787D28" w:rsidP="00787D28">
            <w:pPr>
              <w:pStyle w:val="TableParagraph"/>
              <w:spacing w:before="0" w:beforeAutospacing="0" w:after="0" w:afterAutospacing="0"/>
              <w:jc w:val="left"/>
              <w:rPr>
                <w:rFonts w:ascii="Cambria" w:eastAsia="Calibri" w:hAnsi="Cambria"/>
                <w:sz w:val="20"/>
                <w:szCs w:val="20"/>
              </w:rPr>
            </w:pPr>
            <w:r w:rsidRPr="00787D28">
              <w:rPr>
                <w:rFonts w:ascii="Cambria" w:eastAsia="Calibri" w:hAnsi="Cambria"/>
                <w:color w:val="25495F"/>
                <w:sz w:val="20"/>
                <w:szCs w:val="20"/>
              </w:rPr>
              <w:t>Skewness</w:t>
            </w:r>
          </w:p>
        </w:tc>
        <w:tc>
          <w:tcPr>
            <w:tcW w:w="765" w:type="dxa"/>
            <w:tcBorders>
              <w:top w:val="nil"/>
              <w:left w:val="outset" w:sz="6" w:space="0" w:color="auto"/>
              <w:bottom w:val="outset" w:sz="6" w:space="0" w:color="auto"/>
              <w:right w:val="outset" w:sz="6" w:space="0" w:color="auto"/>
            </w:tcBorders>
            <w:hideMark/>
          </w:tcPr>
          <w:p w14:paraId="6C07C5C6" w14:textId="77777777" w:rsidR="00787D28" w:rsidRPr="00787D28" w:rsidRDefault="00787D28" w:rsidP="00787D28">
            <w:pPr>
              <w:pStyle w:val="TableParagraph"/>
              <w:spacing w:before="0" w:beforeAutospacing="0" w:after="0" w:afterAutospacing="0"/>
              <w:jc w:val="right"/>
              <w:rPr>
                <w:rFonts w:ascii="Cambria" w:eastAsia="Calibri" w:hAnsi="Cambria"/>
                <w:sz w:val="20"/>
                <w:szCs w:val="20"/>
              </w:rPr>
            </w:pPr>
            <w:r w:rsidRPr="00787D28">
              <w:rPr>
                <w:rFonts w:ascii="Cambria" w:eastAsia="Calibri" w:hAnsi="Cambria"/>
                <w:color w:val="000104"/>
                <w:sz w:val="20"/>
                <w:szCs w:val="20"/>
              </w:rPr>
              <w:t>0.849</w:t>
            </w:r>
          </w:p>
        </w:tc>
        <w:tc>
          <w:tcPr>
            <w:tcW w:w="900" w:type="dxa"/>
            <w:tcBorders>
              <w:top w:val="nil"/>
              <w:left w:val="outset" w:sz="6" w:space="0" w:color="auto"/>
              <w:bottom w:val="outset" w:sz="6" w:space="0" w:color="auto"/>
              <w:right w:val="outset" w:sz="6" w:space="0" w:color="auto"/>
            </w:tcBorders>
            <w:hideMark/>
          </w:tcPr>
          <w:p w14:paraId="013B2383" w14:textId="77777777" w:rsidR="00787D28" w:rsidRPr="00787D28" w:rsidRDefault="00787D28" w:rsidP="00787D28">
            <w:pPr>
              <w:pStyle w:val="TableParagraph"/>
              <w:spacing w:before="0" w:beforeAutospacing="0" w:after="0" w:afterAutospacing="0"/>
              <w:jc w:val="right"/>
              <w:rPr>
                <w:rFonts w:ascii="Cambria" w:eastAsia="Calibri" w:hAnsi="Cambria"/>
                <w:sz w:val="20"/>
                <w:szCs w:val="20"/>
              </w:rPr>
            </w:pPr>
            <w:r w:rsidRPr="00787D28">
              <w:rPr>
                <w:rFonts w:ascii="Cambria" w:eastAsia="Calibri" w:hAnsi="Cambria"/>
                <w:color w:val="000104"/>
                <w:sz w:val="20"/>
                <w:szCs w:val="20"/>
              </w:rPr>
              <w:t>0.337</w:t>
            </w:r>
          </w:p>
        </w:tc>
      </w:tr>
      <w:tr w:rsidR="00787D28" w:rsidRPr="00787D28" w14:paraId="1A3B1DAD" w14:textId="77777777" w:rsidTr="00787D28">
        <w:trPr>
          <w:jc w:val="center"/>
        </w:trPr>
        <w:tc>
          <w:tcPr>
            <w:tcW w:w="4590" w:type="dxa"/>
            <w:vMerge/>
            <w:tcBorders>
              <w:top w:val="nil"/>
              <w:left w:val="outset" w:sz="6" w:space="0" w:color="auto"/>
              <w:bottom w:val="outset" w:sz="6" w:space="0" w:color="auto"/>
              <w:right w:val="outset" w:sz="6" w:space="0" w:color="auto"/>
            </w:tcBorders>
            <w:vAlign w:val="center"/>
            <w:hideMark/>
          </w:tcPr>
          <w:p w14:paraId="7DC90FD5" w14:textId="77777777" w:rsidR="00787D28" w:rsidRPr="00787D28" w:rsidRDefault="00787D28" w:rsidP="00787D28">
            <w:pPr>
              <w:spacing w:after="0"/>
              <w:rPr>
                <w:rFonts w:ascii="Cambria" w:hAnsi="Cambria"/>
                <w:sz w:val="20"/>
                <w:szCs w:val="20"/>
              </w:rPr>
            </w:pPr>
          </w:p>
        </w:tc>
        <w:tc>
          <w:tcPr>
            <w:tcW w:w="2145" w:type="dxa"/>
            <w:tcBorders>
              <w:top w:val="nil"/>
              <w:left w:val="outset" w:sz="6" w:space="0" w:color="auto"/>
              <w:bottom w:val="outset" w:sz="6" w:space="0" w:color="auto"/>
              <w:right w:val="outset" w:sz="6" w:space="0" w:color="auto"/>
            </w:tcBorders>
            <w:hideMark/>
          </w:tcPr>
          <w:p w14:paraId="25714D46" w14:textId="77777777" w:rsidR="00787D28" w:rsidRPr="00787D28" w:rsidRDefault="00787D28" w:rsidP="00787D28">
            <w:pPr>
              <w:pStyle w:val="TableParagraph"/>
              <w:spacing w:before="0" w:beforeAutospacing="0" w:after="0" w:afterAutospacing="0"/>
              <w:jc w:val="left"/>
              <w:rPr>
                <w:rFonts w:ascii="Cambria" w:eastAsia="Calibri" w:hAnsi="Cambria"/>
                <w:sz w:val="20"/>
                <w:szCs w:val="20"/>
              </w:rPr>
            </w:pPr>
            <w:r w:rsidRPr="00787D28">
              <w:rPr>
                <w:rFonts w:ascii="Cambria" w:eastAsia="Calibri" w:hAnsi="Cambria"/>
                <w:color w:val="25495F"/>
                <w:sz w:val="20"/>
                <w:szCs w:val="20"/>
              </w:rPr>
              <w:t>Kurtosis</w:t>
            </w:r>
          </w:p>
        </w:tc>
        <w:tc>
          <w:tcPr>
            <w:tcW w:w="765" w:type="dxa"/>
            <w:tcBorders>
              <w:top w:val="nil"/>
              <w:left w:val="outset" w:sz="6" w:space="0" w:color="auto"/>
              <w:bottom w:val="outset" w:sz="6" w:space="0" w:color="auto"/>
              <w:right w:val="outset" w:sz="6" w:space="0" w:color="auto"/>
            </w:tcBorders>
            <w:hideMark/>
          </w:tcPr>
          <w:p w14:paraId="06AE49AE" w14:textId="77777777" w:rsidR="00787D28" w:rsidRPr="00787D28" w:rsidRDefault="00787D28" w:rsidP="00787D28">
            <w:pPr>
              <w:pStyle w:val="TableParagraph"/>
              <w:spacing w:before="0" w:beforeAutospacing="0" w:after="0" w:afterAutospacing="0"/>
              <w:jc w:val="right"/>
              <w:rPr>
                <w:rFonts w:ascii="Cambria" w:eastAsia="Calibri" w:hAnsi="Cambria"/>
                <w:sz w:val="20"/>
                <w:szCs w:val="20"/>
              </w:rPr>
            </w:pPr>
            <w:r w:rsidRPr="00787D28">
              <w:rPr>
                <w:rFonts w:ascii="Cambria" w:eastAsia="Calibri" w:hAnsi="Cambria"/>
                <w:color w:val="000104"/>
                <w:sz w:val="20"/>
                <w:szCs w:val="20"/>
              </w:rPr>
              <w:t>-0.993</w:t>
            </w:r>
          </w:p>
        </w:tc>
        <w:tc>
          <w:tcPr>
            <w:tcW w:w="900" w:type="dxa"/>
            <w:tcBorders>
              <w:top w:val="nil"/>
              <w:left w:val="outset" w:sz="6" w:space="0" w:color="auto"/>
              <w:bottom w:val="outset" w:sz="6" w:space="0" w:color="auto"/>
              <w:right w:val="outset" w:sz="6" w:space="0" w:color="auto"/>
            </w:tcBorders>
            <w:hideMark/>
          </w:tcPr>
          <w:p w14:paraId="674D441E" w14:textId="77777777" w:rsidR="00787D28" w:rsidRPr="00787D28" w:rsidRDefault="00787D28" w:rsidP="00787D28">
            <w:pPr>
              <w:pStyle w:val="TableParagraph"/>
              <w:spacing w:before="0" w:beforeAutospacing="0" w:after="0" w:afterAutospacing="0"/>
              <w:jc w:val="right"/>
              <w:rPr>
                <w:rFonts w:ascii="Cambria" w:eastAsia="Calibri" w:hAnsi="Cambria"/>
                <w:sz w:val="20"/>
                <w:szCs w:val="20"/>
              </w:rPr>
            </w:pPr>
            <w:r w:rsidRPr="00787D28">
              <w:rPr>
                <w:rFonts w:ascii="Cambria" w:eastAsia="Calibri" w:hAnsi="Cambria"/>
                <w:color w:val="000104"/>
                <w:sz w:val="20"/>
                <w:szCs w:val="20"/>
              </w:rPr>
              <w:t>0.662</w:t>
            </w:r>
          </w:p>
        </w:tc>
      </w:tr>
      <w:tr w:rsidR="00787D28" w:rsidRPr="00787D28" w14:paraId="131E9CD6" w14:textId="77777777" w:rsidTr="00787D28">
        <w:trPr>
          <w:jc w:val="center"/>
        </w:trPr>
        <w:tc>
          <w:tcPr>
            <w:tcW w:w="750" w:type="dxa"/>
            <w:vMerge w:val="restart"/>
            <w:tcBorders>
              <w:top w:val="nil"/>
              <w:left w:val="outset" w:sz="6" w:space="0" w:color="auto"/>
              <w:bottom w:val="outset" w:sz="6" w:space="0" w:color="auto"/>
              <w:right w:val="outset" w:sz="6" w:space="0" w:color="auto"/>
            </w:tcBorders>
            <w:hideMark/>
          </w:tcPr>
          <w:p w14:paraId="68EE231A" w14:textId="77777777" w:rsidR="00787D28" w:rsidRPr="00787D28" w:rsidRDefault="00787D28" w:rsidP="00787D28">
            <w:pPr>
              <w:pStyle w:val="TableParagraph"/>
              <w:spacing w:before="0" w:beforeAutospacing="0" w:after="0" w:afterAutospacing="0"/>
              <w:jc w:val="left"/>
              <w:rPr>
                <w:rFonts w:ascii="Cambria" w:eastAsia="Calibri" w:hAnsi="Cambria"/>
                <w:sz w:val="20"/>
                <w:szCs w:val="20"/>
              </w:rPr>
            </w:pPr>
            <w:r w:rsidRPr="00787D28">
              <w:rPr>
                <w:rFonts w:ascii="Cambria" w:eastAsia="Calibri" w:hAnsi="Cambria"/>
                <w:color w:val="25495F"/>
                <w:sz w:val="20"/>
                <w:szCs w:val="20"/>
              </w:rPr>
              <w:t>PBV</w:t>
            </w:r>
          </w:p>
        </w:tc>
        <w:tc>
          <w:tcPr>
            <w:tcW w:w="2145" w:type="dxa"/>
            <w:tcBorders>
              <w:top w:val="nil"/>
              <w:left w:val="outset" w:sz="6" w:space="0" w:color="auto"/>
              <w:bottom w:val="outset" w:sz="6" w:space="0" w:color="auto"/>
              <w:right w:val="outset" w:sz="6" w:space="0" w:color="auto"/>
            </w:tcBorders>
            <w:hideMark/>
          </w:tcPr>
          <w:p w14:paraId="12C59190" w14:textId="77777777" w:rsidR="00787D28" w:rsidRPr="00787D28" w:rsidRDefault="00787D28" w:rsidP="00787D28">
            <w:pPr>
              <w:pStyle w:val="TableParagraph"/>
              <w:spacing w:before="0" w:beforeAutospacing="0" w:after="0" w:afterAutospacing="0"/>
              <w:jc w:val="left"/>
              <w:rPr>
                <w:rFonts w:ascii="Cambria" w:eastAsia="Calibri" w:hAnsi="Cambria"/>
                <w:sz w:val="20"/>
                <w:szCs w:val="20"/>
              </w:rPr>
            </w:pPr>
            <w:r w:rsidRPr="00787D28">
              <w:rPr>
                <w:rFonts w:ascii="Cambria" w:eastAsia="Calibri" w:hAnsi="Cambria"/>
                <w:color w:val="25495F"/>
                <w:sz w:val="20"/>
                <w:szCs w:val="20"/>
              </w:rPr>
              <w:t>Skewness</w:t>
            </w:r>
          </w:p>
        </w:tc>
        <w:tc>
          <w:tcPr>
            <w:tcW w:w="765" w:type="dxa"/>
            <w:tcBorders>
              <w:top w:val="nil"/>
              <w:left w:val="outset" w:sz="6" w:space="0" w:color="auto"/>
              <w:bottom w:val="outset" w:sz="6" w:space="0" w:color="auto"/>
              <w:right w:val="outset" w:sz="6" w:space="0" w:color="auto"/>
            </w:tcBorders>
            <w:hideMark/>
          </w:tcPr>
          <w:p w14:paraId="406DF11E" w14:textId="77777777" w:rsidR="00787D28" w:rsidRPr="00787D28" w:rsidRDefault="00787D28" w:rsidP="00787D28">
            <w:pPr>
              <w:pStyle w:val="TableParagraph"/>
              <w:spacing w:before="0" w:beforeAutospacing="0" w:after="0" w:afterAutospacing="0"/>
              <w:jc w:val="right"/>
              <w:rPr>
                <w:rFonts w:ascii="Cambria" w:eastAsia="Calibri" w:hAnsi="Cambria"/>
                <w:sz w:val="20"/>
                <w:szCs w:val="20"/>
              </w:rPr>
            </w:pPr>
            <w:r w:rsidRPr="00787D28">
              <w:rPr>
                <w:rFonts w:ascii="Cambria" w:eastAsia="Calibri" w:hAnsi="Cambria"/>
                <w:color w:val="000104"/>
                <w:sz w:val="20"/>
                <w:szCs w:val="20"/>
              </w:rPr>
              <w:t>1.604</w:t>
            </w:r>
          </w:p>
        </w:tc>
        <w:tc>
          <w:tcPr>
            <w:tcW w:w="900" w:type="dxa"/>
            <w:tcBorders>
              <w:top w:val="nil"/>
              <w:left w:val="outset" w:sz="6" w:space="0" w:color="auto"/>
              <w:bottom w:val="outset" w:sz="6" w:space="0" w:color="auto"/>
              <w:right w:val="outset" w:sz="6" w:space="0" w:color="auto"/>
            </w:tcBorders>
            <w:hideMark/>
          </w:tcPr>
          <w:p w14:paraId="54C7E164" w14:textId="77777777" w:rsidR="00787D28" w:rsidRPr="00787D28" w:rsidRDefault="00787D28" w:rsidP="00787D28">
            <w:pPr>
              <w:pStyle w:val="TableParagraph"/>
              <w:spacing w:before="0" w:beforeAutospacing="0" w:after="0" w:afterAutospacing="0"/>
              <w:jc w:val="right"/>
              <w:rPr>
                <w:rFonts w:ascii="Cambria" w:eastAsia="Calibri" w:hAnsi="Cambria"/>
                <w:sz w:val="20"/>
                <w:szCs w:val="20"/>
              </w:rPr>
            </w:pPr>
            <w:r w:rsidRPr="00787D28">
              <w:rPr>
                <w:rFonts w:ascii="Cambria" w:eastAsia="Calibri" w:hAnsi="Cambria"/>
                <w:color w:val="000104"/>
                <w:sz w:val="20"/>
                <w:szCs w:val="20"/>
              </w:rPr>
              <w:t>0.337</w:t>
            </w:r>
          </w:p>
        </w:tc>
      </w:tr>
      <w:tr w:rsidR="00787D28" w:rsidRPr="00787D28" w14:paraId="727F7EBE" w14:textId="77777777" w:rsidTr="00787D28">
        <w:trPr>
          <w:jc w:val="center"/>
        </w:trPr>
        <w:tc>
          <w:tcPr>
            <w:tcW w:w="4590" w:type="dxa"/>
            <w:vMerge/>
            <w:tcBorders>
              <w:top w:val="nil"/>
              <w:left w:val="outset" w:sz="6" w:space="0" w:color="auto"/>
              <w:bottom w:val="outset" w:sz="6" w:space="0" w:color="auto"/>
              <w:right w:val="outset" w:sz="6" w:space="0" w:color="auto"/>
            </w:tcBorders>
            <w:vAlign w:val="center"/>
            <w:hideMark/>
          </w:tcPr>
          <w:p w14:paraId="1873799D" w14:textId="77777777" w:rsidR="00787D28" w:rsidRPr="00787D28" w:rsidRDefault="00787D28" w:rsidP="00787D28">
            <w:pPr>
              <w:spacing w:after="0"/>
              <w:rPr>
                <w:rFonts w:ascii="Cambria" w:hAnsi="Cambria"/>
                <w:sz w:val="20"/>
                <w:szCs w:val="20"/>
              </w:rPr>
            </w:pPr>
          </w:p>
        </w:tc>
        <w:tc>
          <w:tcPr>
            <w:tcW w:w="2145" w:type="dxa"/>
            <w:tcBorders>
              <w:top w:val="nil"/>
              <w:left w:val="outset" w:sz="6" w:space="0" w:color="auto"/>
              <w:bottom w:val="outset" w:sz="6" w:space="0" w:color="auto"/>
              <w:right w:val="outset" w:sz="6" w:space="0" w:color="auto"/>
            </w:tcBorders>
            <w:hideMark/>
          </w:tcPr>
          <w:p w14:paraId="210D3489" w14:textId="77777777" w:rsidR="00787D28" w:rsidRPr="00787D28" w:rsidRDefault="00787D28" w:rsidP="00787D28">
            <w:pPr>
              <w:pStyle w:val="TableParagraph"/>
              <w:spacing w:before="0" w:beforeAutospacing="0" w:after="0" w:afterAutospacing="0"/>
              <w:jc w:val="left"/>
              <w:rPr>
                <w:rFonts w:ascii="Cambria" w:eastAsia="Calibri" w:hAnsi="Cambria"/>
                <w:sz w:val="20"/>
                <w:szCs w:val="20"/>
              </w:rPr>
            </w:pPr>
            <w:r w:rsidRPr="00787D28">
              <w:rPr>
                <w:rFonts w:ascii="Cambria" w:eastAsia="Calibri" w:hAnsi="Cambria"/>
                <w:color w:val="25495F"/>
                <w:sz w:val="20"/>
                <w:szCs w:val="20"/>
              </w:rPr>
              <w:t>Kurtosis</w:t>
            </w:r>
          </w:p>
        </w:tc>
        <w:tc>
          <w:tcPr>
            <w:tcW w:w="765" w:type="dxa"/>
            <w:tcBorders>
              <w:top w:val="nil"/>
              <w:left w:val="outset" w:sz="6" w:space="0" w:color="auto"/>
              <w:bottom w:val="outset" w:sz="6" w:space="0" w:color="auto"/>
              <w:right w:val="outset" w:sz="6" w:space="0" w:color="auto"/>
            </w:tcBorders>
            <w:hideMark/>
          </w:tcPr>
          <w:p w14:paraId="12A51D9A" w14:textId="77777777" w:rsidR="00787D28" w:rsidRPr="00787D28" w:rsidRDefault="00787D28" w:rsidP="00787D28">
            <w:pPr>
              <w:pStyle w:val="TableParagraph"/>
              <w:spacing w:before="0" w:beforeAutospacing="0" w:after="0" w:afterAutospacing="0"/>
              <w:jc w:val="right"/>
              <w:rPr>
                <w:rFonts w:ascii="Cambria" w:eastAsia="Calibri" w:hAnsi="Cambria"/>
                <w:sz w:val="20"/>
                <w:szCs w:val="20"/>
              </w:rPr>
            </w:pPr>
            <w:r w:rsidRPr="00787D28">
              <w:rPr>
                <w:rFonts w:ascii="Cambria" w:eastAsia="Calibri" w:hAnsi="Cambria"/>
                <w:color w:val="000104"/>
                <w:sz w:val="20"/>
                <w:szCs w:val="20"/>
              </w:rPr>
              <w:t>2.037</w:t>
            </w:r>
          </w:p>
        </w:tc>
        <w:tc>
          <w:tcPr>
            <w:tcW w:w="900" w:type="dxa"/>
            <w:tcBorders>
              <w:top w:val="nil"/>
              <w:left w:val="outset" w:sz="6" w:space="0" w:color="auto"/>
              <w:bottom w:val="outset" w:sz="6" w:space="0" w:color="auto"/>
              <w:right w:val="outset" w:sz="6" w:space="0" w:color="auto"/>
            </w:tcBorders>
            <w:hideMark/>
          </w:tcPr>
          <w:p w14:paraId="636D4867" w14:textId="77777777" w:rsidR="00787D28" w:rsidRPr="00787D28" w:rsidRDefault="00787D28" w:rsidP="00787D28">
            <w:pPr>
              <w:pStyle w:val="TableParagraph"/>
              <w:spacing w:before="0" w:beforeAutospacing="0" w:after="0" w:afterAutospacing="0"/>
              <w:jc w:val="right"/>
              <w:rPr>
                <w:rFonts w:ascii="Cambria" w:eastAsia="Calibri" w:hAnsi="Cambria"/>
                <w:sz w:val="20"/>
                <w:szCs w:val="20"/>
              </w:rPr>
            </w:pPr>
            <w:r w:rsidRPr="00787D28">
              <w:rPr>
                <w:rFonts w:ascii="Cambria" w:eastAsia="Calibri" w:hAnsi="Cambria"/>
                <w:color w:val="000104"/>
                <w:sz w:val="20"/>
                <w:szCs w:val="20"/>
              </w:rPr>
              <w:t>0.662</w:t>
            </w:r>
          </w:p>
        </w:tc>
      </w:tr>
    </w:tbl>
    <w:p w14:paraId="1C61A61B" w14:textId="0FE6E541" w:rsidR="00AA0BD1" w:rsidRDefault="00787D28" w:rsidP="00AA0BD1">
      <w:pPr>
        <w:pStyle w:val="BodyText"/>
        <w:spacing w:before="0" w:beforeAutospacing="0" w:after="0" w:afterAutospacing="0" w:line="360" w:lineRule="auto"/>
        <w:ind w:firstLine="720"/>
        <w:jc w:val="both"/>
        <w:rPr>
          <w:rFonts w:ascii="Cambria" w:hAnsi="Cambria"/>
        </w:rPr>
      </w:pPr>
      <w:r w:rsidRPr="00787D28">
        <w:rPr>
          <w:rFonts w:ascii="Cambria" w:hAnsi="Cambria"/>
        </w:rPr>
        <w:t xml:space="preserve">Berdasarkan data pada Tabel 3.2 hasil uji normalitas K- Skewness-Kurtois diketahui nilai </w:t>
      </w:r>
      <w:r w:rsidRPr="00787D28">
        <w:rPr>
          <w:rFonts w:ascii="Cambria" w:hAnsi="Cambria"/>
          <w:i/>
        </w:rPr>
        <w:t xml:space="preserve">Skewness </w:t>
      </w:r>
      <w:r w:rsidRPr="00787D28">
        <w:rPr>
          <w:rFonts w:ascii="Cambria" w:hAnsi="Cambria"/>
        </w:rPr>
        <w:t>diantara -2 s/d 2 maka dapat disimpulkan variabel X1,X2,X3,X4 da</w:t>
      </w:r>
      <w:r w:rsidR="00AA0BD1">
        <w:rPr>
          <w:rFonts w:ascii="Cambria" w:hAnsi="Cambria"/>
        </w:rPr>
        <w:t>n Y berdistribusi secara normal.</w:t>
      </w:r>
    </w:p>
    <w:p w14:paraId="297F337C" w14:textId="77777777" w:rsidR="00AA0BD1" w:rsidRDefault="00AA0BD1" w:rsidP="00AA0BD1">
      <w:pPr>
        <w:pStyle w:val="BodyText"/>
        <w:spacing w:before="0" w:beforeAutospacing="0" w:after="0" w:afterAutospacing="0" w:line="360" w:lineRule="auto"/>
        <w:ind w:firstLine="720"/>
        <w:jc w:val="both"/>
        <w:rPr>
          <w:rFonts w:ascii="Cambria" w:hAnsi="Cambria"/>
        </w:rPr>
      </w:pPr>
    </w:p>
    <w:p w14:paraId="27F5B3D9" w14:textId="77777777" w:rsidR="00AA0BD1" w:rsidRDefault="00AA0BD1" w:rsidP="00AA0BD1">
      <w:pPr>
        <w:pStyle w:val="BodyText"/>
        <w:spacing w:before="0" w:beforeAutospacing="0" w:after="0" w:afterAutospacing="0" w:line="360" w:lineRule="auto"/>
        <w:ind w:firstLine="720"/>
        <w:jc w:val="both"/>
        <w:rPr>
          <w:rFonts w:ascii="Cambria" w:hAnsi="Cambria"/>
        </w:rPr>
      </w:pPr>
    </w:p>
    <w:p w14:paraId="18015F61" w14:textId="77777777" w:rsidR="00AA0BD1" w:rsidRDefault="00AA0BD1" w:rsidP="00AA0BD1">
      <w:pPr>
        <w:pStyle w:val="BodyText"/>
        <w:spacing w:before="0" w:beforeAutospacing="0" w:after="0" w:afterAutospacing="0" w:line="360" w:lineRule="auto"/>
        <w:ind w:firstLine="720"/>
        <w:jc w:val="both"/>
        <w:rPr>
          <w:rFonts w:ascii="Cambria" w:hAnsi="Cambria"/>
        </w:rPr>
      </w:pPr>
    </w:p>
    <w:p w14:paraId="07B4D406" w14:textId="77777777" w:rsidR="00AA0BD1" w:rsidRPr="00787D28" w:rsidRDefault="00AA0BD1" w:rsidP="00AA0BD1">
      <w:pPr>
        <w:pStyle w:val="BodyText"/>
        <w:spacing w:before="0" w:beforeAutospacing="0" w:after="0" w:afterAutospacing="0" w:line="360" w:lineRule="auto"/>
        <w:ind w:firstLine="720"/>
        <w:jc w:val="both"/>
        <w:rPr>
          <w:rFonts w:ascii="Cambria" w:hAnsi="Cambria"/>
        </w:rPr>
      </w:pPr>
    </w:p>
    <w:p w14:paraId="2642A804" w14:textId="77777777" w:rsidR="00787D28" w:rsidRPr="00787D28" w:rsidRDefault="00787D28" w:rsidP="00787D28">
      <w:pPr>
        <w:pStyle w:val="Heading2"/>
        <w:keepNext w:val="0"/>
        <w:keepLines w:val="0"/>
        <w:widowControl w:val="0"/>
        <w:autoSpaceDE w:val="0"/>
        <w:autoSpaceDN w:val="0"/>
        <w:spacing w:before="0" w:after="0" w:line="240" w:lineRule="auto"/>
        <w:jc w:val="both"/>
        <w:rPr>
          <w:rFonts w:ascii="Cambria" w:hAnsi="Cambria"/>
          <w:sz w:val="24"/>
          <w:szCs w:val="24"/>
        </w:rPr>
      </w:pPr>
      <w:r w:rsidRPr="00787D28">
        <w:rPr>
          <w:rFonts w:ascii="Cambria" w:hAnsi="Cambria"/>
          <w:sz w:val="24"/>
          <w:szCs w:val="24"/>
        </w:rPr>
        <w:t>Uji Multikolinearitas</w:t>
      </w:r>
    </w:p>
    <w:p w14:paraId="66346663" w14:textId="77777777" w:rsidR="00787D28" w:rsidRPr="00787D28" w:rsidRDefault="00787D28" w:rsidP="00787D28">
      <w:pPr>
        <w:pStyle w:val="BodyText"/>
        <w:spacing w:before="0" w:beforeAutospacing="0" w:after="0" w:afterAutospacing="0"/>
        <w:jc w:val="both"/>
        <w:rPr>
          <w:rFonts w:ascii="Cambria" w:hAnsi="Cambria"/>
        </w:rPr>
      </w:pPr>
      <w:r w:rsidRPr="00787D28">
        <w:rPr>
          <w:rFonts w:ascii="Cambria" w:hAnsi="Cambria"/>
        </w:rPr>
        <w:t>Hasil uji multikolinearitas sebagai berikut.</w:t>
      </w:r>
    </w:p>
    <w:p w14:paraId="0348C201" w14:textId="77777777" w:rsidR="00787D28" w:rsidRPr="00787D28" w:rsidRDefault="00787D28" w:rsidP="00787D28">
      <w:pPr>
        <w:pStyle w:val="Heading2"/>
        <w:spacing w:before="0" w:after="0"/>
        <w:rPr>
          <w:rFonts w:ascii="Cambria" w:hAnsi="Cambria"/>
          <w:sz w:val="24"/>
          <w:szCs w:val="24"/>
        </w:rPr>
      </w:pPr>
      <w:r w:rsidRPr="00787D28">
        <w:rPr>
          <w:rFonts w:ascii="Cambria" w:hAnsi="Cambria"/>
          <w:sz w:val="24"/>
          <w:szCs w:val="24"/>
        </w:rPr>
        <w:t>Tabel 3.3 Uji Multikolinearitas</w:t>
      </w:r>
    </w:p>
    <w:p w14:paraId="19475245" w14:textId="77777777" w:rsidR="00787D28" w:rsidRDefault="00787D28" w:rsidP="00787D28">
      <w:pPr>
        <w:spacing w:after="0"/>
        <w:rPr>
          <w:rFonts w:ascii="Cambria" w:hAnsi="Cambria"/>
          <w:sz w:val="24"/>
          <w:szCs w:val="24"/>
          <w:lang w:val="id-ID"/>
        </w:rPr>
      </w:pPr>
    </w:p>
    <w:p w14:paraId="304E9A38" w14:textId="527F2E89" w:rsidR="00787D28" w:rsidRDefault="00787D28" w:rsidP="00787D28">
      <w:pPr>
        <w:spacing w:after="0"/>
        <w:jc w:val="center"/>
        <w:rPr>
          <w:rFonts w:ascii="Cambria" w:hAnsi="Cambria"/>
          <w:sz w:val="24"/>
          <w:szCs w:val="24"/>
          <w:lang w:val="id-ID"/>
        </w:rPr>
      </w:pPr>
      <w:r w:rsidRPr="00787D28">
        <w:rPr>
          <w:rFonts w:ascii="Cambria" w:hAnsi="Cambria"/>
          <w:noProof/>
          <w:sz w:val="24"/>
          <w:szCs w:val="24"/>
        </w:rPr>
        <w:drawing>
          <wp:inline distT="0" distB="0" distL="0" distR="0" wp14:anchorId="74290F97" wp14:editId="1A1DEBD3">
            <wp:extent cx="4690334" cy="1245580"/>
            <wp:effectExtent l="0" t="0" r="0" b="0"/>
            <wp:docPr id="19" name="Picture 19" descr="C:\Users\LE\AppData\Local\Temp\ksohtml3504\wps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LE\AppData\Local\Temp\ksohtml3504\wps14.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04660" cy="1249385"/>
                    </a:xfrm>
                    <a:prstGeom prst="rect">
                      <a:avLst/>
                    </a:prstGeom>
                    <a:noFill/>
                    <a:ln>
                      <a:noFill/>
                    </a:ln>
                  </pic:spPr>
                </pic:pic>
              </a:graphicData>
            </a:graphic>
          </wp:inline>
        </w:drawing>
      </w:r>
    </w:p>
    <w:p w14:paraId="4AF05691" w14:textId="77777777" w:rsidR="00787D28" w:rsidRPr="00787D28" w:rsidRDefault="00787D28" w:rsidP="00787D28">
      <w:pPr>
        <w:pStyle w:val="BodyText"/>
        <w:spacing w:before="0" w:beforeAutospacing="0" w:after="0" w:afterAutospacing="0"/>
        <w:rPr>
          <w:rFonts w:ascii="Cambria" w:hAnsi="Cambria"/>
        </w:rPr>
      </w:pPr>
    </w:p>
    <w:p w14:paraId="0135D464" w14:textId="77777777" w:rsidR="00787D28" w:rsidRPr="00787D28" w:rsidRDefault="00787D28" w:rsidP="00787D28">
      <w:pPr>
        <w:pStyle w:val="BodyText"/>
        <w:spacing w:before="0" w:beforeAutospacing="0" w:after="0" w:afterAutospacing="0" w:line="360" w:lineRule="auto"/>
        <w:ind w:firstLine="720"/>
        <w:rPr>
          <w:rFonts w:ascii="Cambria" w:hAnsi="Cambria"/>
        </w:rPr>
      </w:pPr>
      <w:r w:rsidRPr="00787D28">
        <w:rPr>
          <w:rFonts w:ascii="Cambria" w:hAnsi="Cambria"/>
        </w:rPr>
        <w:t xml:space="preserve">Berdasarkan data pada Tabel 3.3 hasil uji multikolinearitas diketahui nilai </w:t>
      </w:r>
      <w:r w:rsidRPr="00787D28">
        <w:rPr>
          <w:rFonts w:ascii="Cambria" w:hAnsi="Cambria"/>
          <w:i/>
        </w:rPr>
        <w:t xml:space="preserve">Statistics VIF </w:t>
      </w:r>
      <w:r w:rsidRPr="00787D28">
        <w:rPr>
          <w:rFonts w:ascii="Cambria" w:hAnsi="Cambria"/>
        </w:rPr>
        <w:t>&lt; 10 atau tolerance value &gt;0,1 maka bisa disimpulkan tidak terjadi kolerasi diantara variabel.</w:t>
      </w:r>
    </w:p>
    <w:p w14:paraId="0921C065" w14:textId="77777777" w:rsidR="00787D28" w:rsidRDefault="00787D28" w:rsidP="00787D28">
      <w:pPr>
        <w:widowControl w:val="0"/>
        <w:autoSpaceDE w:val="0"/>
        <w:autoSpaceDN w:val="0"/>
        <w:spacing w:after="0" w:line="240" w:lineRule="auto"/>
        <w:jc w:val="both"/>
        <w:rPr>
          <w:rFonts w:ascii="Cambria" w:hAnsi="Cambria"/>
          <w:sz w:val="24"/>
          <w:szCs w:val="24"/>
          <w:lang w:val="id-ID"/>
        </w:rPr>
      </w:pPr>
    </w:p>
    <w:p w14:paraId="73699D0A" w14:textId="77777777" w:rsidR="00AA0BD1" w:rsidRPr="00787D28" w:rsidRDefault="00AA0BD1" w:rsidP="00AA0BD1">
      <w:pPr>
        <w:pStyle w:val="BodyText"/>
        <w:spacing w:before="0" w:beforeAutospacing="0" w:after="0" w:afterAutospacing="0"/>
        <w:rPr>
          <w:rFonts w:ascii="Cambria" w:hAnsi="Cambria"/>
          <w:b/>
        </w:rPr>
      </w:pPr>
      <w:r w:rsidRPr="00787D28">
        <w:rPr>
          <w:rFonts w:ascii="Cambria" w:hAnsi="Cambria"/>
          <w:b/>
        </w:rPr>
        <w:t>Uji Autokorelasi</w:t>
      </w:r>
    </w:p>
    <w:p w14:paraId="35BA83AB" w14:textId="77777777" w:rsidR="00AA0BD1" w:rsidRPr="00787D28" w:rsidRDefault="00AA0BD1" w:rsidP="00AA0BD1">
      <w:pPr>
        <w:pStyle w:val="BodyText"/>
        <w:spacing w:before="0" w:beforeAutospacing="0" w:after="0" w:afterAutospacing="0"/>
        <w:rPr>
          <w:rFonts w:ascii="Cambria" w:hAnsi="Cambria"/>
        </w:rPr>
      </w:pPr>
      <w:r w:rsidRPr="00787D28">
        <w:rPr>
          <w:rFonts w:ascii="Cambria" w:hAnsi="Cambria"/>
        </w:rPr>
        <w:t>Hasil uji autokorelasi sebagai berikut.</w:t>
      </w:r>
    </w:p>
    <w:p w14:paraId="4F59F456" w14:textId="77777777" w:rsidR="00AA0BD1" w:rsidRPr="00787D28" w:rsidRDefault="00AA0BD1" w:rsidP="00AA0BD1">
      <w:pPr>
        <w:pStyle w:val="Heading2"/>
        <w:spacing w:before="0" w:after="0"/>
        <w:jc w:val="center"/>
        <w:rPr>
          <w:rFonts w:ascii="Cambria" w:hAnsi="Cambria"/>
          <w:sz w:val="24"/>
          <w:szCs w:val="24"/>
        </w:rPr>
      </w:pPr>
      <w:r w:rsidRPr="00787D28">
        <w:rPr>
          <w:rFonts w:ascii="Cambria" w:hAnsi="Cambria"/>
          <w:sz w:val="24"/>
          <w:szCs w:val="24"/>
        </w:rPr>
        <w:t>Tabel 3.4 Uji Autokorelasi</w:t>
      </w:r>
    </w:p>
    <w:tbl>
      <w:tblPr>
        <w:tblW w:w="0" w:type="auto"/>
        <w:tblCellSpacing w:w="0" w:type="dxa"/>
        <w:tblCellMar>
          <w:left w:w="0" w:type="dxa"/>
          <w:right w:w="0" w:type="dxa"/>
        </w:tblCellMar>
        <w:tblLook w:val="04A0" w:firstRow="1" w:lastRow="0" w:firstColumn="1" w:lastColumn="0" w:noHBand="0" w:noVBand="1"/>
      </w:tblPr>
      <w:tblGrid>
        <w:gridCol w:w="6"/>
        <w:gridCol w:w="8340"/>
      </w:tblGrid>
      <w:tr w:rsidR="00AA0BD1" w:rsidRPr="00787D28" w14:paraId="0A8979CB" w14:textId="77777777" w:rsidTr="000761AE">
        <w:trPr>
          <w:gridAfter w:val="1"/>
          <w:tblCellSpacing w:w="0" w:type="dxa"/>
        </w:trPr>
        <w:tc>
          <w:tcPr>
            <w:tcW w:w="0" w:type="auto"/>
            <w:vAlign w:val="center"/>
            <w:hideMark/>
          </w:tcPr>
          <w:p w14:paraId="48FF7071" w14:textId="77777777" w:rsidR="00AA0BD1" w:rsidRPr="00787D28" w:rsidRDefault="00AA0BD1" w:rsidP="000761AE">
            <w:pPr>
              <w:spacing w:after="0"/>
              <w:jc w:val="center"/>
              <w:rPr>
                <w:rFonts w:ascii="Cambria" w:hAnsi="Cambria"/>
                <w:sz w:val="24"/>
                <w:szCs w:val="24"/>
              </w:rPr>
            </w:pPr>
          </w:p>
        </w:tc>
      </w:tr>
      <w:tr w:rsidR="00AA0BD1" w:rsidRPr="00787D28" w14:paraId="6CCE7A7C" w14:textId="77777777" w:rsidTr="000761AE">
        <w:trPr>
          <w:tblCellSpacing w:w="0" w:type="dxa"/>
        </w:trPr>
        <w:tc>
          <w:tcPr>
            <w:tcW w:w="0" w:type="auto"/>
            <w:vAlign w:val="center"/>
            <w:hideMark/>
          </w:tcPr>
          <w:p w14:paraId="571212F2" w14:textId="77777777" w:rsidR="00AA0BD1" w:rsidRPr="00787D28" w:rsidRDefault="00AA0BD1" w:rsidP="000761AE">
            <w:pPr>
              <w:spacing w:after="0"/>
              <w:jc w:val="center"/>
              <w:rPr>
                <w:rFonts w:ascii="Cambria" w:hAnsi="Cambria"/>
                <w:sz w:val="24"/>
                <w:szCs w:val="24"/>
              </w:rPr>
            </w:pPr>
          </w:p>
        </w:tc>
        <w:tc>
          <w:tcPr>
            <w:tcW w:w="0" w:type="auto"/>
            <w:vAlign w:val="center"/>
            <w:hideMark/>
          </w:tcPr>
          <w:p w14:paraId="6B6DC293" w14:textId="77777777" w:rsidR="00AA0BD1" w:rsidRPr="00787D28" w:rsidRDefault="00AA0BD1" w:rsidP="000761AE">
            <w:pPr>
              <w:spacing w:after="0"/>
              <w:jc w:val="center"/>
              <w:rPr>
                <w:rFonts w:ascii="Cambria" w:hAnsi="Cambria"/>
                <w:sz w:val="24"/>
                <w:szCs w:val="24"/>
              </w:rPr>
            </w:pPr>
            <w:r w:rsidRPr="00787D28">
              <w:rPr>
                <w:rFonts w:ascii="Cambria" w:hAnsi="Cambria"/>
                <w:noProof/>
                <w:sz w:val="24"/>
                <w:szCs w:val="24"/>
                <w:lang w:val="id-ID" w:eastAsia="id-ID"/>
              </w:rPr>
              <w:drawing>
                <wp:inline distT="0" distB="0" distL="0" distR="0" wp14:anchorId="7D4C7319" wp14:editId="78E87C51">
                  <wp:extent cx="5292725" cy="914400"/>
                  <wp:effectExtent l="0" t="0" r="3175" b="0"/>
                  <wp:docPr id="18" name="Picture 18" descr="C:\Users\LE\AppData\Local\Temp\ksohtml3504\wps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LE\AppData\Local\Temp\ksohtml3504\wps15.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92725" cy="914400"/>
                          </a:xfrm>
                          <a:prstGeom prst="rect">
                            <a:avLst/>
                          </a:prstGeom>
                          <a:noFill/>
                          <a:ln>
                            <a:noFill/>
                          </a:ln>
                        </pic:spPr>
                      </pic:pic>
                    </a:graphicData>
                  </a:graphic>
                </wp:inline>
              </w:drawing>
            </w:r>
          </w:p>
        </w:tc>
      </w:tr>
    </w:tbl>
    <w:p w14:paraId="483DD544" w14:textId="77777777" w:rsidR="00AA0BD1" w:rsidRPr="00787D28" w:rsidRDefault="00AA0BD1" w:rsidP="00AA0BD1">
      <w:pPr>
        <w:pStyle w:val="BodyText"/>
        <w:spacing w:before="0" w:beforeAutospacing="0" w:after="0" w:afterAutospacing="0"/>
        <w:rPr>
          <w:rFonts w:ascii="Cambria" w:hAnsi="Cambria"/>
          <w:b/>
        </w:rPr>
      </w:pPr>
      <w:r w:rsidRPr="00787D28">
        <w:rPr>
          <w:rFonts w:ascii="Cambria" w:hAnsi="Cambria"/>
          <w:b/>
        </w:rPr>
        <w:t xml:space="preserve"> </w:t>
      </w:r>
    </w:p>
    <w:p w14:paraId="072B730A" w14:textId="77777777" w:rsidR="00AA0BD1" w:rsidRPr="00787D28" w:rsidRDefault="00AA0BD1" w:rsidP="00AA0BD1">
      <w:pPr>
        <w:pStyle w:val="BodyText"/>
        <w:spacing w:before="0" w:beforeAutospacing="0" w:after="0" w:afterAutospacing="0" w:line="355" w:lineRule="auto"/>
        <w:ind w:firstLine="720"/>
        <w:jc w:val="both"/>
        <w:rPr>
          <w:rFonts w:ascii="Cambria" w:hAnsi="Cambria"/>
        </w:rPr>
      </w:pPr>
      <w:r w:rsidRPr="00787D28">
        <w:rPr>
          <w:rFonts w:ascii="Cambria" w:hAnsi="Cambria"/>
        </w:rPr>
        <w:t xml:space="preserve">Berdasarkan data pada Tabel 3.4 hasil uji autokolerasi diketahui nilai Durbin Watson sebesar </w:t>
      </w:r>
      <w:r w:rsidRPr="00787D28">
        <w:rPr>
          <w:rFonts w:ascii="Cambria" w:hAnsi="Cambria"/>
          <w:b/>
        </w:rPr>
        <w:t xml:space="preserve">1.409, </w:t>
      </w:r>
      <w:r w:rsidRPr="00787D28">
        <w:rPr>
          <w:rFonts w:ascii="Cambria" w:hAnsi="Cambria"/>
        </w:rPr>
        <w:t>nilai tersebut lebih besar dari DL (</w:t>
      </w:r>
      <w:r w:rsidRPr="00787D28">
        <w:rPr>
          <w:rFonts w:ascii="Cambria" w:hAnsi="Cambria"/>
          <w:b/>
        </w:rPr>
        <w:t>1.3779</w:t>
      </w:r>
      <w:r w:rsidRPr="00787D28">
        <w:rPr>
          <w:rFonts w:ascii="Cambria" w:hAnsi="Cambria"/>
        </w:rPr>
        <w:t>) dan lebih kecil dari DU (</w:t>
      </w:r>
      <w:r w:rsidRPr="00787D28">
        <w:rPr>
          <w:rFonts w:ascii="Cambria" w:hAnsi="Cambria"/>
          <w:b/>
        </w:rPr>
        <w:t xml:space="preserve">1.7214) </w:t>
      </w:r>
      <w:r w:rsidRPr="00787D28">
        <w:rPr>
          <w:rFonts w:ascii="Cambria" w:hAnsi="Cambria"/>
        </w:rPr>
        <w:t>maka tidak menghasilkan kesimpulan yang pasti, juga bisa disimpulkan tidak terjadi autokolerasi.</w:t>
      </w:r>
    </w:p>
    <w:p w14:paraId="28E8F83D" w14:textId="77777777" w:rsidR="00AA0BD1" w:rsidRPr="00787D28" w:rsidRDefault="00AA0BD1" w:rsidP="00AA0BD1">
      <w:pPr>
        <w:pStyle w:val="Heading2"/>
        <w:spacing w:before="0" w:after="0"/>
        <w:rPr>
          <w:rFonts w:ascii="Cambria" w:hAnsi="Cambria"/>
          <w:sz w:val="24"/>
          <w:szCs w:val="24"/>
        </w:rPr>
      </w:pPr>
      <w:r w:rsidRPr="00787D28">
        <w:rPr>
          <w:rFonts w:ascii="Cambria" w:hAnsi="Cambria"/>
          <w:sz w:val="24"/>
          <w:szCs w:val="24"/>
        </w:rPr>
        <w:t>Uji Heterokedastisitas</w:t>
      </w:r>
    </w:p>
    <w:p w14:paraId="0C87F915" w14:textId="77777777" w:rsidR="00AA0BD1" w:rsidRPr="00787D28" w:rsidRDefault="00AA0BD1" w:rsidP="00AA0BD1">
      <w:pPr>
        <w:pStyle w:val="BodyText"/>
        <w:spacing w:before="0" w:beforeAutospacing="0" w:after="0" w:afterAutospacing="0"/>
        <w:rPr>
          <w:rFonts w:ascii="Cambria" w:hAnsi="Cambria"/>
        </w:rPr>
      </w:pPr>
      <w:r w:rsidRPr="00787D28">
        <w:rPr>
          <w:rFonts w:ascii="Cambria" w:hAnsi="Cambria"/>
        </w:rPr>
        <w:t>Hasil uji heterokedastisitas sebagai berikut.</w:t>
      </w:r>
    </w:p>
    <w:p w14:paraId="576B4197" w14:textId="77777777" w:rsidR="00AA0BD1" w:rsidRPr="00787D28" w:rsidRDefault="00AA0BD1" w:rsidP="00AA0BD1">
      <w:pPr>
        <w:pStyle w:val="Heading2"/>
        <w:spacing w:before="0" w:after="0"/>
        <w:jc w:val="center"/>
        <w:rPr>
          <w:rFonts w:ascii="Cambria" w:hAnsi="Cambria"/>
          <w:sz w:val="24"/>
          <w:szCs w:val="24"/>
        </w:rPr>
      </w:pPr>
      <w:r w:rsidRPr="00787D28">
        <w:rPr>
          <w:rFonts w:ascii="Cambria" w:hAnsi="Cambria"/>
          <w:sz w:val="24"/>
          <w:szCs w:val="24"/>
        </w:rPr>
        <w:t>Tabel 3.5 Uji Heteroskedastisitas</w:t>
      </w:r>
    </w:p>
    <w:tbl>
      <w:tblPr>
        <w:tblW w:w="0" w:type="auto"/>
        <w:tblCellSpacing w:w="0" w:type="dxa"/>
        <w:tblCellMar>
          <w:left w:w="0" w:type="dxa"/>
          <w:right w:w="0" w:type="dxa"/>
        </w:tblCellMar>
        <w:tblLook w:val="04A0" w:firstRow="1" w:lastRow="0" w:firstColumn="1" w:lastColumn="0" w:noHBand="0" w:noVBand="1"/>
      </w:tblPr>
      <w:tblGrid>
        <w:gridCol w:w="6"/>
        <w:gridCol w:w="5286"/>
      </w:tblGrid>
      <w:tr w:rsidR="00AA0BD1" w:rsidRPr="00787D28" w14:paraId="0EF4BB56" w14:textId="77777777" w:rsidTr="000761AE">
        <w:trPr>
          <w:gridAfter w:val="1"/>
          <w:tblCellSpacing w:w="0" w:type="dxa"/>
        </w:trPr>
        <w:tc>
          <w:tcPr>
            <w:tcW w:w="0" w:type="auto"/>
            <w:vAlign w:val="center"/>
            <w:hideMark/>
          </w:tcPr>
          <w:p w14:paraId="48C02914" w14:textId="77777777" w:rsidR="00AA0BD1" w:rsidRPr="00787D28" w:rsidRDefault="00AA0BD1" w:rsidP="000761AE">
            <w:pPr>
              <w:spacing w:after="0"/>
              <w:jc w:val="center"/>
              <w:rPr>
                <w:rFonts w:ascii="Cambria" w:hAnsi="Cambria"/>
                <w:sz w:val="24"/>
                <w:szCs w:val="24"/>
              </w:rPr>
            </w:pPr>
          </w:p>
        </w:tc>
      </w:tr>
      <w:tr w:rsidR="00AA0BD1" w:rsidRPr="00787D28" w14:paraId="4FB372A0" w14:textId="77777777" w:rsidTr="000761AE">
        <w:trPr>
          <w:tblCellSpacing w:w="0" w:type="dxa"/>
        </w:trPr>
        <w:tc>
          <w:tcPr>
            <w:tcW w:w="0" w:type="auto"/>
            <w:vAlign w:val="center"/>
            <w:hideMark/>
          </w:tcPr>
          <w:p w14:paraId="5DC38844" w14:textId="77777777" w:rsidR="00AA0BD1" w:rsidRPr="00787D28" w:rsidRDefault="00AA0BD1" w:rsidP="000761AE">
            <w:pPr>
              <w:spacing w:after="0"/>
              <w:jc w:val="center"/>
              <w:rPr>
                <w:rFonts w:ascii="Cambria" w:hAnsi="Cambria"/>
                <w:sz w:val="24"/>
                <w:szCs w:val="24"/>
              </w:rPr>
            </w:pPr>
          </w:p>
        </w:tc>
        <w:tc>
          <w:tcPr>
            <w:tcW w:w="0" w:type="auto"/>
            <w:vAlign w:val="center"/>
            <w:hideMark/>
          </w:tcPr>
          <w:p w14:paraId="314F711F" w14:textId="77777777" w:rsidR="00AA0BD1" w:rsidRPr="00787D28" w:rsidRDefault="00AA0BD1" w:rsidP="000761AE">
            <w:pPr>
              <w:pStyle w:val="NoSpacing"/>
              <w:jc w:val="center"/>
            </w:pPr>
            <w:r w:rsidRPr="00787D28">
              <w:rPr>
                <w:rFonts w:ascii="Cambria" w:hAnsi="Cambria"/>
                <w:noProof/>
                <w:sz w:val="24"/>
                <w:szCs w:val="24"/>
                <w:lang w:val="id-ID" w:eastAsia="id-ID"/>
              </w:rPr>
              <w:drawing>
                <wp:inline distT="0" distB="0" distL="0" distR="0" wp14:anchorId="09F62165" wp14:editId="426BDDCF">
                  <wp:extent cx="3356610" cy="1097280"/>
                  <wp:effectExtent l="0" t="0" r="0" b="7620"/>
                  <wp:docPr id="17" name="Picture 17" descr="C:\Users\LE\AppData\Local\Temp\ksohtml3504\wps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LE\AppData\Local\Temp\ksohtml3504\wps16.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56610" cy="1097280"/>
                          </a:xfrm>
                          <a:prstGeom prst="rect">
                            <a:avLst/>
                          </a:prstGeom>
                          <a:noFill/>
                          <a:ln>
                            <a:noFill/>
                          </a:ln>
                        </pic:spPr>
                      </pic:pic>
                    </a:graphicData>
                  </a:graphic>
                </wp:inline>
              </w:drawing>
            </w:r>
          </w:p>
        </w:tc>
      </w:tr>
    </w:tbl>
    <w:p w14:paraId="32413F17" w14:textId="77777777" w:rsidR="00AA0BD1" w:rsidRPr="00787D28" w:rsidRDefault="00AA0BD1" w:rsidP="00AA0BD1">
      <w:pPr>
        <w:pStyle w:val="BodyText"/>
        <w:spacing w:before="0" w:beforeAutospacing="0" w:after="0" w:afterAutospacing="0"/>
        <w:rPr>
          <w:rFonts w:ascii="Cambria" w:hAnsi="Cambria"/>
          <w:b/>
        </w:rPr>
      </w:pPr>
      <w:r w:rsidRPr="00787D28">
        <w:rPr>
          <w:rFonts w:ascii="Cambria" w:hAnsi="Cambria"/>
          <w:b/>
        </w:rPr>
        <w:t xml:space="preserve"> </w:t>
      </w:r>
    </w:p>
    <w:p w14:paraId="0C1E1C77" w14:textId="77777777" w:rsidR="00AA0BD1" w:rsidRPr="00787D28" w:rsidRDefault="00AA0BD1" w:rsidP="00AA0BD1">
      <w:pPr>
        <w:pStyle w:val="BodyText"/>
        <w:spacing w:before="0" w:beforeAutospacing="0" w:after="0" w:afterAutospacing="0" w:line="360" w:lineRule="auto"/>
        <w:ind w:firstLine="720"/>
        <w:jc w:val="both"/>
        <w:rPr>
          <w:rFonts w:ascii="Cambria" w:hAnsi="Cambria"/>
        </w:rPr>
      </w:pPr>
      <w:r w:rsidRPr="00787D28">
        <w:rPr>
          <w:rFonts w:ascii="Cambria" w:hAnsi="Cambria"/>
        </w:rPr>
        <w:t xml:space="preserve">Berdasarkan data pada Tabel 3.5 hasil uji heteroskedastisitas diketahui nilai Sig &gt; </w:t>
      </w:r>
      <w:r w:rsidRPr="00787D28">
        <w:rPr>
          <w:rFonts w:ascii="Cambria" w:hAnsi="Cambria"/>
        </w:rPr>
        <w:lastRenderedPageBreak/>
        <w:t>0.05 maka bisa disimpulkan tidak terjadi gejala heteroskedastisitas dalam model regresi.</w:t>
      </w:r>
    </w:p>
    <w:p w14:paraId="7A36C32A" w14:textId="77777777" w:rsidR="00AA0BD1" w:rsidRPr="00787D28" w:rsidRDefault="00AA0BD1" w:rsidP="00AA0BD1">
      <w:pPr>
        <w:pStyle w:val="Heading2"/>
        <w:keepNext w:val="0"/>
        <w:keepLines w:val="0"/>
        <w:widowControl w:val="0"/>
        <w:autoSpaceDE w:val="0"/>
        <w:autoSpaceDN w:val="0"/>
        <w:spacing w:before="0" w:after="0" w:line="240" w:lineRule="auto"/>
        <w:rPr>
          <w:rFonts w:ascii="Cambria" w:hAnsi="Cambria"/>
          <w:sz w:val="24"/>
          <w:szCs w:val="24"/>
        </w:rPr>
      </w:pPr>
      <w:r w:rsidRPr="00787D28">
        <w:rPr>
          <w:rFonts w:ascii="Cambria" w:hAnsi="Cambria"/>
          <w:sz w:val="24"/>
          <w:szCs w:val="24"/>
        </w:rPr>
        <w:t>Analisis Data Penelitian</w:t>
      </w:r>
    </w:p>
    <w:p w14:paraId="21EA1C78" w14:textId="77777777" w:rsidR="00AA0BD1" w:rsidRPr="00787D28" w:rsidRDefault="00AA0BD1" w:rsidP="00AA0BD1">
      <w:pPr>
        <w:widowControl w:val="0"/>
        <w:autoSpaceDE w:val="0"/>
        <w:autoSpaceDN w:val="0"/>
        <w:spacing w:after="0" w:line="240" w:lineRule="auto"/>
        <w:rPr>
          <w:rFonts w:ascii="Cambria" w:hAnsi="Cambria"/>
          <w:b/>
          <w:sz w:val="24"/>
          <w:szCs w:val="24"/>
        </w:rPr>
      </w:pPr>
      <w:r w:rsidRPr="00787D28">
        <w:rPr>
          <w:rFonts w:ascii="Cambria" w:hAnsi="Cambria"/>
          <w:b/>
          <w:sz w:val="24"/>
          <w:szCs w:val="24"/>
        </w:rPr>
        <w:t>Analisis Regresi Linear Berganda</w:t>
      </w:r>
    </w:p>
    <w:p w14:paraId="2D52E4F6" w14:textId="77777777" w:rsidR="00AA0BD1" w:rsidRPr="00787D28" w:rsidRDefault="00AA0BD1" w:rsidP="00AA0BD1">
      <w:pPr>
        <w:pStyle w:val="BodyText"/>
        <w:spacing w:before="0" w:beforeAutospacing="0" w:after="0" w:afterAutospacing="0"/>
        <w:rPr>
          <w:rFonts w:ascii="Cambria" w:hAnsi="Cambria"/>
        </w:rPr>
      </w:pPr>
      <w:r w:rsidRPr="00787D28">
        <w:rPr>
          <w:rFonts w:ascii="Cambria" w:hAnsi="Cambria"/>
        </w:rPr>
        <w:t>Pada penelitian ini melakukan analisis dengan regresi linier beganda sebagai berikut.</w:t>
      </w:r>
    </w:p>
    <w:p w14:paraId="60268223" w14:textId="77777777" w:rsidR="00AA0BD1" w:rsidRPr="00787D28" w:rsidRDefault="00AA0BD1" w:rsidP="00AA0BD1">
      <w:pPr>
        <w:pStyle w:val="Heading2"/>
        <w:spacing w:before="0" w:after="0"/>
        <w:jc w:val="center"/>
        <w:rPr>
          <w:rFonts w:ascii="Cambria" w:hAnsi="Cambria"/>
          <w:sz w:val="24"/>
          <w:szCs w:val="24"/>
        </w:rPr>
      </w:pPr>
      <w:r w:rsidRPr="00787D28">
        <w:rPr>
          <w:rFonts w:ascii="Cambria" w:hAnsi="Cambria"/>
          <w:sz w:val="24"/>
          <w:szCs w:val="24"/>
        </w:rPr>
        <w:t>Tabel 3.6 Uji Linear Regresi Berganda</w:t>
      </w:r>
    </w:p>
    <w:p w14:paraId="405B7193" w14:textId="77777777" w:rsidR="00AA0BD1" w:rsidRDefault="00AA0BD1" w:rsidP="00AA0BD1">
      <w:pPr>
        <w:spacing w:after="0"/>
        <w:rPr>
          <w:rFonts w:ascii="Cambria" w:hAnsi="Cambria"/>
          <w:sz w:val="24"/>
          <w:szCs w:val="24"/>
          <w:lang w:val="id-ID"/>
        </w:rPr>
      </w:pPr>
    </w:p>
    <w:p w14:paraId="0F20EDB8" w14:textId="77777777" w:rsidR="00AA0BD1" w:rsidRDefault="00AA0BD1" w:rsidP="00AA0BD1">
      <w:pPr>
        <w:spacing w:after="0"/>
        <w:jc w:val="center"/>
        <w:rPr>
          <w:rFonts w:ascii="Cambria" w:hAnsi="Cambria"/>
          <w:sz w:val="24"/>
          <w:szCs w:val="24"/>
          <w:lang w:val="id-ID"/>
        </w:rPr>
      </w:pPr>
      <w:r w:rsidRPr="00787D28">
        <w:rPr>
          <w:rFonts w:ascii="Cambria" w:hAnsi="Cambria"/>
          <w:noProof/>
          <w:sz w:val="24"/>
          <w:szCs w:val="24"/>
        </w:rPr>
        <w:drawing>
          <wp:inline distT="0" distB="0" distL="0" distR="0" wp14:anchorId="3F2917EE" wp14:editId="2687D51D">
            <wp:extent cx="5690870" cy="1312545"/>
            <wp:effectExtent l="0" t="0" r="5080" b="1905"/>
            <wp:docPr id="16" name="Picture 16" descr="C:\Users\LE\AppData\Local\Temp\ksohtml3504\wps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LE\AppData\Local\Temp\ksohtml3504\wps17.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90870" cy="1312545"/>
                    </a:xfrm>
                    <a:prstGeom prst="rect">
                      <a:avLst/>
                    </a:prstGeom>
                    <a:noFill/>
                    <a:ln>
                      <a:noFill/>
                    </a:ln>
                  </pic:spPr>
                </pic:pic>
              </a:graphicData>
            </a:graphic>
          </wp:inline>
        </w:drawing>
      </w:r>
    </w:p>
    <w:p w14:paraId="41424C11" w14:textId="77777777" w:rsidR="00AA0BD1" w:rsidRDefault="00AA0BD1" w:rsidP="00AA0BD1">
      <w:pPr>
        <w:spacing w:after="0"/>
        <w:jc w:val="center"/>
        <w:rPr>
          <w:rFonts w:ascii="Cambria" w:hAnsi="Cambria"/>
          <w:sz w:val="24"/>
          <w:szCs w:val="24"/>
          <w:lang w:val="id-ID"/>
        </w:rPr>
      </w:pPr>
    </w:p>
    <w:p w14:paraId="1C354227" w14:textId="77777777" w:rsidR="00AA0BD1" w:rsidRPr="00787D28" w:rsidRDefault="00AA0BD1" w:rsidP="00AA0BD1">
      <w:pPr>
        <w:pStyle w:val="BodyText"/>
        <w:spacing w:before="0" w:beforeAutospacing="0" w:after="0" w:afterAutospacing="0"/>
        <w:rPr>
          <w:rFonts w:ascii="Cambria" w:hAnsi="Cambria"/>
        </w:rPr>
      </w:pPr>
    </w:p>
    <w:p w14:paraId="42379980" w14:textId="77777777" w:rsidR="00AA0BD1" w:rsidRPr="00787D28" w:rsidRDefault="00AA0BD1" w:rsidP="00AA0BD1">
      <w:pPr>
        <w:pStyle w:val="BodyText"/>
        <w:spacing w:before="0" w:beforeAutospacing="0" w:after="0" w:afterAutospacing="0" w:line="360" w:lineRule="auto"/>
        <w:ind w:firstLine="720"/>
        <w:jc w:val="both"/>
        <w:rPr>
          <w:rFonts w:ascii="Cambria" w:hAnsi="Cambria"/>
        </w:rPr>
      </w:pPr>
      <w:r w:rsidRPr="00787D28">
        <w:rPr>
          <w:rFonts w:ascii="Cambria" w:hAnsi="Cambria"/>
        </w:rPr>
        <w:t>Berdasarkan data pada Tabel 3.6 hasil uji linear regresi sederhana diketahui nilai Sig dari X1 (Aset), Z (Laba) &lt; 0.05 dan X2 (DPR) ,X3 (DER )&gt; 0.05 maka bisa disimpulkan bahwa X1 dan Z berpengaruh terhadap variabel Y sedangkan X2 dan X3 tidak berpengaruh terhadap variabel Y.</w:t>
      </w:r>
    </w:p>
    <w:p w14:paraId="6A089A57" w14:textId="77777777" w:rsidR="00AA0BD1" w:rsidRDefault="00AA0BD1" w:rsidP="00AA0BD1">
      <w:pPr>
        <w:pStyle w:val="Heading2"/>
        <w:keepNext w:val="0"/>
        <w:keepLines w:val="0"/>
        <w:widowControl w:val="0"/>
        <w:autoSpaceDE w:val="0"/>
        <w:autoSpaceDN w:val="0"/>
        <w:spacing w:before="0" w:after="0" w:line="240" w:lineRule="auto"/>
        <w:jc w:val="both"/>
        <w:rPr>
          <w:rFonts w:ascii="Cambria" w:hAnsi="Cambria"/>
          <w:sz w:val="24"/>
          <w:szCs w:val="24"/>
          <w:lang w:val="id-ID"/>
        </w:rPr>
      </w:pPr>
    </w:p>
    <w:p w14:paraId="6715E973" w14:textId="77777777" w:rsidR="00AA0BD1" w:rsidRPr="00787D28" w:rsidRDefault="00AA0BD1" w:rsidP="00AA0BD1">
      <w:pPr>
        <w:pStyle w:val="Heading2"/>
        <w:keepNext w:val="0"/>
        <w:keepLines w:val="0"/>
        <w:widowControl w:val="0"/>
        <w:autoSpaceDE w:val="0"/>
        <w:autoSpaceDN w:val="0"/>
        <w:spacing w:before="0" w:after="0" w:line="240" w:lineRule="auto"/>
        <w:jc w:val="both"/>
        <w:rPr>
          <w:rFonts w:ascii="Cambria" w:hAnsi="Cambria"/>
          <w:sz w:val="24"/>
          <w:szCs w:val="24"/>
        </w:rPr>
      </w:pPr>
      <w:r w:rsidRPr="00787D28">
        <w:rPr>
          <w:rFonts w:ascii="Cambria" w:hAnsi="Cambria"/>
          <w:sz w:val="24"/>
          <w:szCs w:val="24"/>
        </w:rPr>
        <w:t>Koefisien Determinasi</w:t>
      </w:r>
    </w:p>
    <w:p w14:paraId="4EA9C58E" w14:textId="77777777" w:rsidR="00AA0BD1" w:rsidRPr="00787D28" w:rsidRDefault="00AA0BD1" w:rsidP="00AA0BD1">
      <w:pPr>
        <w:pStyle w:val="BodyText"/>
        <w:spacing w:before="0" w:beforeAutospacing="0" w:after="0" w:afterAutospacing="0" w:line="360" w:lineRule="auto"/>
        <w:jc w:val="both"/>
        <w:rPr>
          <w:rFonts w:ascii="Cambria" w:hAnsi="Cambria"/>
        </w:rPr>
      </w:pPr>
      <w:r w:rsidRPr="00787D28">
        <w:rPr>
          <w:rFonts w:ascii="Cambria" w:hAnsi="Cambria"/>
        </w:rPr>
        <w:t>Pengujan determinasi dilakukan untuk mengetahui persentase pengaruh variabel dengan hasil sebagai berikut.</w:t>
      </w:r>
    </w:p>
    <w:p w14:paraId="620CBE30" w14:textId="77777777" w:rsidR="00AA0BD1" w:rsidRPr="00787D28" w:rsidRDefault="00AA0BD1" w:rsidP="00AA0BD1">
      <w:pPr>
        <w:pStyle w:val="Heading2"/>
        <w:spacing w:before="0" w:after="0"/>
        <w:rPr>
          <w:rFonts w:ascii="Cambria" w:hAnsi="Cambria"/>
          <w:sz w:val="24"/>
          <w:szCs w:val="24"/>
        </w:rPr>
      </w:pPr>
      <w:r w:rsidRPr="00787D28">
        <w:rPr>
          <w:rFonts w:ascii="Cambria" w:hAnsi="Cambria"/>
          <w:sz w:val="24"/>
          <w:szCs w:val="24"/>
        </w:rPr>
        <w:t>Tabel 3.7 Uji Koefisen Determinasi</w:t>
      </w:r>
    </w:p>
    <w:tbl>
      <w:tblPr>
        <w:tblW w:w="0" w:type="auto"/>
        <w:tblCellSpacing w:w="0" w:type="dxa"/>
        <w:tblCellMar>
          <w:left w:w="0" w:type="dxa"/>
          <w:right w:w="0" w:type="dxa"/>
        </w:tblCellMar>
        <w:tblLook w:val="04A0" w:firstRow="1" w:lastRow="0" w:firstColumn="1" w:lastColumn="0" w:noHBand="0" w:noVBand="1"/>
      </w:tblPr>
      <w:tblGrid>
        <w:gridCol w:w="6"/>
        <w:gridCol w:w="6840"/>
      </w:tblGrid>
      <w:tr w:rsidR="00AA0BD1" w:rsidRPr="00787D28" w14:paraId="13090E4B" w14:textId="77777777" w:rsidTr="000761AE">
        <w:trPr>
          <w:gridAfter w:val="1"/>
          <w:tblCellSpacing w:w="0" w:type="dxa"/>
        </w:trPr>
        <w:tc>
          <w:tcPr>
            <w:tcW w:w="0" w:type="auto"/>
            <w:vAlign w:val="center"/>
            <w:hideMark/>
          </w:tcPr>
          <w:p w14:paraId="1DE91CF8" w14:textId="77777777" w:rsidR="00AA0BD1" w:rsidRPr="00787D28" w:rsidRDefault="00AA0BD1" w:rsidP="000761AE">
            <w:pPr>
              <w:spacing w:after="0"/>
              <w:rPr>
                <w:rFonts w:ascii="Cambria" w:hAnsi="Cambria"/>
                <w:sz w:val="24"/>
                <w:szCs w:val="24"/>
              </w:rPr>
            </w:pPr>
          </w:p>
        </w:tc>
      </w:tr>
      <w:tr w:rsidR="00AA0BD1" w:rsidRPr="00787D28" w14:paraId="4FF2383A" w14:textId="77777777" w:rsidTr="000761AE">
        <w:trPr>
          <w:tblCellSpacing w:w="0" w:type="dxa"/>
        </w:trPr>
        <w:tc>
          <w:tcPr>
            <w:tcW w:w="0" w:type="auto"/>
            <w:vAlign w:val="center"/>
            <w:hideMark/>
          </w:tcPr>
          <w:p w14:paraId="5D760F90" w14:textId="77777777" w:rsidR="00AA0BD1" w:rsidRPr="00787D28" w:rsidRDefault="00AA0BD1" w:rsidP="000761AE">
            <w:pPr>
              <w:spacing w:after="0"/>
              <w:rPr>
                <w:rFonts w:ascii="Cambria" w:hAnsi="Cambria"/>
                <w:sz w:val="24"/>
                <w:szCs w:val="24"/>
              </w:rPr>
            </w:pPr>
          </w:p>
        </w:tc>
        <w:tc>
          <w:tcPr>
            <w:tcW w:w="0" w:type="auto"/>
            <w:vAlign w:val="center"/>
            <w:hideMark/>
          </w:tcPr>
          <w:p w14:paraId="153FE99F" w14:textId="77777777" w:rsidR="00AA0BD1" w:rsidRPr="00787D28" w:rsidRDefault="00AA0BD1" w:rsidP="000761AE">
            <w:pPr>
              <w:spacing w:after="0"/>
              <w:rPr>
                <w:rFonts w:ascii="Cambria" w:hAnsi="Cambria"/>
                <w:sz w:val="24"/>
                <w:szCs w:val="24"/>
              </w:rPr>
            </w:pPr>
            <w:r w:rsidRPr="00787D28">
              <w:rPr>
                <w:rFonts w:ascii="Cambria" w:hAnsi="Cambria"/>
                <w:noProof/>
                <w:sz w:val="24"/>
                <w:szCs w:val="24"/>
                <w:lang w:val="id-ID" w:eastAsia="id-ID"/>
              </w:rPr>
              <w:drawing>
                <wp:inline distT="0" distB="0" distL="0" distR="0" wp14:anchorId="67AF8BE7" wp14:editId="5496F901">
                  <wp:extent cx="4335145" cy="892810"/>
                  <wp:effectExtent l="0" t="0" r="8255" b="2540"/>
                  <wp:docPr id="15" name="Picture 15" descr="C:\Users\LE\AppData\Local\Temp\ksohtml3504\wps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LE\AppData\Local\Temp\ksohtml3504\wps18.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35145" cy="892810"/>
                          </a:xfrm>
                          <a:prstGeom prst="rect">
                            <a:avLst/>
                          </a:prstGeom>
                          <a:noFill/>
                          <a:ln>
                            <a:noFill/>
                          </a:ln>
                        </pic:spPr>
                      </pic:pic>
                    </a:graphicData>
                  </a:graphic>
                </wp:inline>
              </w:drawing>
            </w:r>
          </w:p>
        </w:tc>
      </w:tr>
    </w:tbl>
    <w:p w14:paraId="1A63DD24" w14:textId="77777777" w:rsidR="00AA0BD1" w:rsidRPr="00787D28" w:rsidRDefault="00AA0BD1" w:rsidP="00AA0BD1">
      <w:pPr>
        <w:pStyle w:val="BodyText"/>
        <w:spacing w:before="0" w:beforeAutospacing="0" w:after="0" w:afterAutospacing="0"/>
        <w:rPr>
          <w:rFonts w:ascii="Cambria" w:hAnsi="Cambria"/>
          <w:b/>
        </w:rPr>
      </w:pPr>
      <w:r w:rsidRPr="00787D28">
        <w:rPr>
          <w:rFonts w:ascii="Cambria" w:hAnsi="Cambria"/>
          <w:b/>
        </w:rPr>
        <w:t xml:space="preserve"> </w:t>
      </w:r>
    </w:p>
    <w:p w14:paraId="7A70E13B" w14:textId="4ABF0379" w:rsidR="00AA0BD1" w:rsidRDefault="00AA0BD1" w:rsidP="00AA0BD1">
      <w:pPr>
        <w:pStyle w:val="BodyText"/>
        <w:spacing w:before="0" w:beforeAutospacing="0" w:after="0" w:afterAutospacing="0" w:line="360" w:lineRule="auto"/>
        <w:ind w:firstLine="720"/>
        <w:jc w:val="both"/>
        <w:rPr>
          <w:rFonts w:ascii="Cambria" w:hAnsi="Cambria"/>
        </w:rPr>
      </w:pPr>
      <w:r w:rsidRPr="00787D28">
        <w:rPr>
          <w:rFonts w:ascii="Cambria" w:hAnsi="Cambria"/>
        </w:rPr>
        <w:t>Berdasarkan data pada Tabel 3.7 hasil uji koefisen determinasi diketahui nilai dari Adjusted R Square sebesar 0,645 maka dapat disimpulkan bahwa sumbangan pengaruh variabel independen terhadap variabel Dependen secara simultan (bersama – sama) sebesar 64,5% sedangkan sisanya dipengaruhi oleh variabel lain yang tidak dimasukkan dalam penelitian ini.</w:t>
      </w:r>
    </w:p>
    <w:p w14:paraId="4E4745D3" w14:textId="77777777" w:rsidR="00AA0BD1" w:rsidRDefault="00AA0BD1" w:rsidP="002C021E">
      <w:pPr>
        <w:pStyle w:val="BodyText"/>
        <w:spacing w:before="0" w:beforeAutospacing="0" w:after="0" w:afterAutospacing="0" w:line="360" w:lineRule="auto"/>
        <w:jc w:val="both"/>
        <w:rPr>
          <w:rFonts w:ascii="Cambria" w:hAnsi="Cambria"/>
        </w:rPr>
      </w:pPr>
    </w:p>
    <w:p w14:paraId="1F4E8D04" w14:textId="77777777" w:rsidR="00AA0BD1" w:rsidRDefault="00AA0BD1" w:rsidP="00AA0BD1">
      <w:pPr>
        <w:pStyle w:val="BodyText"/>
        <w:spacing w:before="0" w:beforeAutospacing="0" w:after="0" w:afterAutospacing="0" w:line="360" w:lineRule="auto"/>
        <w:ind w:firstLine="720"/>
        <w:jc w:val="both"/>
        <w:rPr>
          <w:rFonts w:ascii="Cambria" w:hAnsi="Cambria"/>
        </w:rPr>
      </w:pPr>
    </w:p>
    <w:p w14:paraId="72E18312" w14:textId="77777777" w:rsidR="00856FAB" w:rsidRDefault="00856FAB" w:rsidP="00AA0BD1">
      <w:pPr>
        <w:pStyle w:val="BodyText"/>
        <w:spacing w:before="0" w:beforeAutospacing="0" w:after="0" w:afterAutospacing="0" w:line="360" w:lineRule="auto"/>
        <w:ind w:firstLine="720"/>
        <w:jc w:val="both"/>
        <w:rPr>
          <w:rFonts w:ascii="Cambria" w:hAnsi="Cambria"/>
        </w:rPr>
      </w:pPr>
    </w:p>
    <w:p w14:paraId="577D9289" w14:textId="77777777" w:rsidR="00AA0BD1" w:rsidRPr="00787D28" w:rsidRDefault="00AA0BD1" w:rsidP="00AA0BD1">
      <w:pPr>
        <w:pStyle w:val="BodyText"/>
        <w:spacing w:before="0" w:beforeAutospacing="0" w:after="0" w:afterAutospacing="0" w:line="360" w:lineRule="auto"/>
        <w:jc w:val="both"/>
        <w:rPr>
          <w:rFonts w:ascii="Cambria" w:hAnsi="Cambria"/>
          <w:b/>
        </w:rPr>
      </w:pPr>
      <w:r w:rsidRPr="00787D28">
        <w:rPr>
          <w:rFonts w:ascii="Cambria" w:hAnsi="Cambria"/>
          <w:b/>
        </w:rPr>
        <w:lastRenderedPageBreak/>
        <w:t>Uji Simultan (F)</w:t>
      </w:r>
    </w:p>
    <w:p w14:paraId="076B8696" w14:textId="77777777" w:rsidR="00AA0BD1" w:rsidRPr="00787D28" w:rsidRDefault="00AA0BD1" w:rsidP="00AA0BD1">
      <w:pPr>
        <w:pStyle w:val="BodyText"/>
        <w:spacing w:before="0" w:beforeAutospacing="0" w:after="0" w:afterAutospacing="0"/>
        <w:jc w:val="both"/>
        <w:rPr>
          <w:rFonts w:ascii="Cambria" w:hAnsi="Cambria"/>
        </w:rPr>
      </w:pPr>
      <w:r w:rsidRPr="00787D28">
        <w:rPr>
          <w:rFonts w:ascii="Cambria" w:hAnsi="Cambria"/>
        </w:rPr>
        <w:t>Hasil pengujian simultan pada hasil berikut ini.</w:t>
      </w:r>
    </w:p>
    <w:p w14:paraId="4316E2C9" w14:textId="77777777" w:rsidR="00AA0BD1" w:rsidRPr="00787D28" w:rsidRDefault="00AA0BD1" w:rsidP="00AA0BD1">
      <w:pPr>
        <w:pStyle w:val="Heading2"/>
        <w:spacing w:before="0" w:after="0"/>
        <w:rPr>
          <w:rFonts w:ascii="Cambria" w:hAnsi="Cambria"/>
          <w:sz w:val="24"/>
          <w:szCs w:val="24"/>
        </w:rPr>
      </w:pPr>
      <w:r w:rsidRPr="00787D28">
        <w:rPr>
          <w:rFonts w:ascii="Cambria" w:hAnsi="Cambria"/>
          <w:sz w:val="24"/>
          <w:szCs w:val="24"/>
        </w:rPr>
        <w:t>Tabel 3.8 Uji Simultan</w:t>
      </w:r>
    </w:p>
    <w:tbl>
      <w:tblPr>
        <w:tblW w:w="0" w:type="auto"/>
        <w:tblCellSpacing w:w="0" w:type="dxa"/>
        <w:tblCellMar>
          <w:left w:w="0" w:type="dxa"/>
          <w:right w:w="0" w:type="dxa"/>
        </w:tblCellMar>
        <w:tblLook w:val="04A0" w:firstRow="1" w:lastRow="0" w:firstColumn="1" w:lastColumn="0" w:noHBand="0" w:noVBand="1"/>
      </w:tblPr>
      <w:tblGrid>
        <w:gridCol w:w="6"/>
        <w:gridCol w:w="8880"/>
      </w:tblGrid>
      <w:tr w:rsidR="00AA0BD1" w:rsidRPr="00787D28" w14:paraId="0C3CFEA5" w14:textId="77777777" w:rsidTr="000761AE">
        <w:trPr>
          <w:gridAfter w:val="1"/>
          <w:tblCellSpacing w:w="0" w:type="dxa"/>
        </w:trPr>
        <w:tc>
          <w:tcPr>
            <w:tcW w:w="0" w:type="auto"/>
            <w:vAlign w:val="center"/>
            <w:hideMark/>
          </w:tcPr>
          <w:p w14:paraId="60071EFF" w14:textId="77777777" w:rsidR="00AA0BD1" w:rsidRPr="00787D28" w:rsidRDefault="00AA0BD1" w:rsidP="000761AE">
            <w:pPr>
              <w:spacing w:after="0"/>
              <w:rPr>
                <w:rFonts w:ascii="Cambria" w:hAnsi="Cambria"/>
                <w:sz w:val="24"/>
                <w:szCs w:val="24"/>
              </w:rPr>
            </w:pPr>
          </w:p>
        </w:tc>
      </w:tr>
      <w:tr w:rsidR="00AA0BD1" w:rsidRPr="00787D28" w14:paraId="79F98215" w14:textId="77777777" w:rsidTr="000761AE">
        <w:trPr>
          <w:tblCellSpacing w:w="0" w:type="dxa"/>
        </w:trPr>
        <w:tc>
          <w:tcPr>
            <w:tcW w:w="0" w:type="auto"/>
            <w:vAlign w:val="center"/>
            <w:hideMark/>
          </w:tcPr>
          <w:p w14:paraId="1B01C9E6" w14:textId="77777777" w:rsidR="00AA0BD1" w:rsidRPr="00787D28" w:rsidRDefault="00AA0BD1" w:rsidP="000761AE">
            <w:pPr>
              <w:spacing w:after="0"/>
              <w:rPr>
                <w:rFonts w:ascii="Cambria" w:hAnsi="Cambria"/>
                <w:sz w:val="24"/>
                <w:szCs w:val="24"/>
              </w:rPr>
            </w:pPr>
          </w:p>
        </w:tc>
        <w:tc>
          <w:tcPr>
            <w:tcW w:w="0" w:type="auto"/>
            <w:vAlign w:val="center"/>
            <w:hideMark/>
          </w:tcPr>
          <w:p w14:paraId="2EAB3ABF" w14:textId="77777777" w:rsidR="00AA0BD1" w:rsidRPr="00787D28" w:rsidRDefault="00AA0BD1" w:rsidP="000761AE">
            <w:pPr>
              <w:spacing w:after="0"/>
              <w:rPr>
                <w:rFonts w:ascii="Cambria" w:hAnsi="Cambria"/>
                <w:sz w:val="24"/>
                <w:szCs w:val="24"/>
              </w:rPr>
            </w:pPr>
            <w:r w:rsidRPr="00787D28">
              <w:rPr>
                <w:rFonts w:ascii="Cambria" w:hAnsi="Cambria"/>
                <w:noProof/>
                <w:sz w:val="24"/>
                <w:szCs w:val="24"/>
                <w:lang w:val="id-ID" w:eastAsia="id-ID"/>
              </w:rPr>
              <w:drawing>
                <wp:inline distT="0" distB="0" distL="0" distR="0" wp14:anchorId="3EDB7E45" wp14:editId="0587EDEB">
                  <wp:extent cx="5636895" cy="1054100"/>
                  <wp:effectExtent l="0" t="0" r="1905" b="0"/>
                  <wp:docPr id="14" name="Picture 14" descr="C:\Users\LE\AppData\Local\Temp\ksohtml3504\wps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LE\AppData\Local\Temp\ksohtml3504\wps19.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36895" cy="1054100"/>
                          </a:xfrm>
                          <a:prstGeom prst="rect">
                            <a:avLst/>
                          </a:prstGeom>
                          <a:noFill/>
                          <a:ln>
                            <a:noFill/>
                          </a:ln>
                        </pic:spPr>
                      </pic:pic>
                    </a:graphicData>
                  </a:graphic>
                </wp:inline>
              </w:drawing>
            </w:r>
          </w:p>
        </w:tc>
      </w:tr>
    </w:tbl>
    <w:p w14:paraId="74005184" w14:textId="77777777" w:rsidR="00AA0BD1" w:rsidRPr="00787D28" w:rsidRDefault="00AA0BD1" w:rsidP="00AA0BD1">
      <w:pPr>
        <w:pStyle w:val="BodyText"/>
        <w:spacing w:before="0" w:beforeAutospacing="0" w:after="0" w:afterAutospacing="0"/>
        <w:rPr>
          <w:rFonts w:ascii="Cambria" w:hAnsi="Cambria"/>
          <w:b/>
        </w:rPr>
      </w:pPr>
      <w:r w:rsidRPr="00787D28">
        <w:rPr>
          <w:rFonts w:ascii="Cambria" w:hAnsi="Cambria"/>
          <w:b/>
        </w:rPr>
        <w:t xml:space="preserve"> </w:t>
      </w:r>
    </w:p>
    <w:p w14:paraId="4B4438C0" w14:textId="77777777" w:rsidR="00AA0BD1" w:rsidRDefault="00AA0BD1" w:rsidP="00AA0BD1">
      <w:pPr>
        <w:pStyle w:val="BodyText"/>
        <w:spacing w:before="0" w:beforeAutospacing="0" w:after="0" w:afterAutospacing="0" w:line="360" w:lineRule="auto"/>
        <w:ind w:firstLine="720"/>
        <w:jc w:val="both"/>
        <w:rPr>
          <w:rFonts w:ascii="Cambria" w:hAnsi="Cambria"/>
        </w:rPr>
      </w:pPr>
      <w:r w:rsidRPr="00787D28">
        <w:rPr>
          <w:rFonts w:ascii="Cambria" w:hAnsi="Cambria"/>
        </w:rPr>
        <w:t>Berdasarkan data pada Tabel 3.8 hasil uji simultan / anova diketahui nilai F sebesar 23.291 &gt; 2.5571791 maka dapat disimpulkan bahwa variabel Aset (X1),DPR (X2),DER (X3),Laba (X4) berpengaruh signifikan terhadap variabel PBV (Y) secara simultan (bersama – sama).</w:t>
      </w:r>
    </w:p>
    <w:p w14:paraId="6E53E313" w14:textId="77777777" w:rsidR="00AA0BD1" w:rsidRPr="00787D28" w:rsidRDefault="00AA0BD1" w:rsidP="00AA0BD1">
      <w:pPr>
        <w:pStyle w:val="Heading2"/>
        <w:keepNext w:val="0"/>
        <w:keepLines w:val="0"/>
        <w:widowControl w:val="0"/>
        <w:autoSpaceDE w:val="0"/>
        <w:autoSpaceDN w:val="0"/>
        <w:spacing w:before="0" w:after="0" w:line="240" w:lineRule="auto"/>
        <w:jc w:val="both"/>
        <w:rPr>
          <w:rFonts w:ascii="Cambria" w:hAnsi="Cambria"/>
          <w:sz w:val="24"/>
          <w:szCs w:val="24"/>
        </w:rPr>
      </w:pPr>
      <w:r w:rsidRPr="00787D28">
        <w:rPr>
          <w:rFonts w:ascii="Cambria" w:hAnsi="Cambria"/>
          <w:sz w:val="24"/>
          <w:szCs w:val="24"/>
        </w:rPr>
        <w:t>Uji Parsial (T)</w:t>
      </w:r>
    </w:p>
    <w:p w14:paraId="233B367B" w14:textId="77777777" w:rsidR="00AA0BD1" w:rsidRPr="00787D28" w:rsidRDefault="00AA0BD1" w:rsidP="00AA0BD1">
      <w:pPr>
        <w:pStyle w:val="BodyText"/>
        <w:spacing w:before="0" w:beforeAutospacing="0" w:after="0" w:afterAutospacing="0"/>
        <w:jc w:val="both"/>
        <w:rPr>
          <w:rFonts w:ascii="Cambria" w:hAnsi="Cambria"/>
        </w:rPr>
      </w:pPr>
      <w:r w:rsidRPr="00787D28">
        <w:rPr>
          <w:rFonts w:ascii="Cambria" w:hAnsi="Cambria"/>
        </w:rPr>
        <w:t>Hasil pengujian parsial pada hasil berikut ini.</w:t>
      </w:r>
    </w:p>
    <w:p w14:paraId="31A5D9C9" w14:textId="77777777" w:rsidR="00AA0BD1" w:rsidRPr="00787D28" w:rsidRDefault="00AA0BD1" w:rsidP="00AA0BD1">
      <w:pPr>
        <w:pStyle w:val="Heading2"/>
        <w:spacing w:before="0" w:after="0"/>
        <w:rPr>
          <w:rFonts w:ascii="Cambria" w:hAnsi="Cambria"/>
          <w:sz w:val="24"/>
          <w:szCs w:val="24"/>
        </w:rPr>
      </w:pPr>
      <w:r w:rsidRPr="00787D28">
        <w:rPr>
          <w:rFonts w:ascii="Cambria" w:hAnsi="Cambria"/>
          <w:sz w:val="24"/>
          <w:szCs w:val="24"/>
        </w:rPr>
        <w:t>Tabel 3.9 Uji Parsial</w:t>
      </w:r>
    </w:p>
    <w:p w14:paraId="42A0CA56" w14:textId="77777777" w:rsidR="00AA0BD1" w:rsidRDefault="00AA0BD1" w:rsidP="00AA0BD1">
      <w:pPr>
        <w:spacing w:after="0"/>
        <w:rPr>
          <w:rFonts w:ascii="Cambria" w:hAnsi="Cambria"/>
          <w:sz w:val="24"/>
          <w:szCs w:val="24"/>
          <w:lang w:val="id-ID"/>
        </w:rPr>
      </w:pPr>
    </w:p>
    <w:p w14:paraId="2D7F28AC" w14:textId="77777777" w:rsidR="00AA0BD1" w:rsidRPr="00787D28" w:rsidRDefault="00AA0BD1" w:rsidP="00AA0BD1">
      <w:pPr>
        <w:pStyle w:val="BodyText"/>
        <w:spacing w:before="0" w:beforeAutospacing="0" w:after="0" w:afterAutospacing="0"/>
        <w:rPr>
          <w:rFonts w:ascii="Cambria" w:hAnsi="Cambria"/>
        </w:rPr>
      </w:pPr>
      <w:r w:rsidRPr="00787D28">
        <w:rPr>
          <w:rFonts w:ascii="Cambria" w:hAnsi="Cambria"/>
          <w:noProof/>
        </w:rPr>
        <w:drawing>
          <wp:inline distT="0" distB="0" distL="0" distR="0" wp14:anchorId="47D94C0A" wp14:editId="7646EB5B">
            <wp:extent cx="5325110" cy="1376680"/>
            <wp:effectExtent l="0" t="0" r="8890" b="0"/>
            <wp:docPr id="13" name="Picture 13" descr="C:\Users\LE\AppData\Local\Temp\ksohtml3504\wps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LE\AppData\Local\Temp\ksohtml3504\wps20.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25110" cy="1376680"/>
                    </a:xfrm>
                    <a:prstGeom prst="rect">
                      <a:avLst/>
                    </a:prstGeom>
                    <a:noFill/>
                    <a:ln>
                      <a:noFill/>
                    </a:ln>
                  </pic:spPr>
                </pic:pic>
              </a:graphicData>
            </a:graphic>
          </wp:inline>
        </w:drawing>
      </w:r>
      <w:r w:rsidRPr="00787D28">
        <w:rPr>
          <w:rFonts w:ascii="Cambria" w:hAnsi="Cambria"/>
        </w:rPr>
        <w:t xml:space="preserve"> </w:t>
      </w:r>
    </w:p>
    <w:p w14:paraId="024829C0" w14:textId="77777777" w:rsidR="00AA0BD1" w:rsidRDefault="00AA0BD1" w:rsidP="00AA0BD1">
      <w:pPr>
        <w:spacing w:after="0"/>
        <w:rPr>
          <w:rFonts w:ascii="Cambria" w:hAnsi="Cambria"/>
          <w:sz w:val="24"/>
          <w:szCs w:val="24"/>
          <w:lang w:val="id-ID"/>
        </w:rPr>
      </w:pPr>
    </w:p>
    <w:p w14:paraId="2576675E" w14:textId="77777777" w:rsidR="00AA0BD1" w:rsidRPr="00787D28" w:rsidRDefault="00AA0BD1" w:rsidP="00AA0BD1">
      <w:pPr>
        <w:pStyle w:val="BodyText"/>
        <w:spacing w:before="0" w:beforeAutospacing="0" w:after="0" w:afterAutospacing="0"/>
        <w:rPr>
          <w:rFonts w:ascii="Cambria" w:hAnsi="Cambria"/>
        </w:rPr>
      </w:pPr>
      <w:r w:rsidRPr="00787D28">
        <w:rPr>
          <w:rFonts w:ascii="Cambria" w:hAnsi="Cambria"/>
        </w:rPr>
        <w:t>Berdasarkan data pada Tabel 3.9 hasil uji parsial dapat disimpulkan sebagai berikut :</w:t>
      </w:r>
    </w:p>
    <w:p w14:paraId="4A6858F7" w14:textId="77777777" w:rsidR="00AA0BD1" w:rsidRPr="00787D28" w:rsidRDefault="00AA0BD1" w:rsidP="00AA0BD1">
      <w:pPr>
        <w:pStyle w:val="ListParagraph"/>
        <w:widowControl w:val="0"/>
        <w:numPr>
          <w:ilvl w:val="0"/>
          <w:numId w:val="21"/>
        </w:numPr>
        <w:autoSpaceDE w:val="0"/>
        <w:autoSpaceDN w:val="0"/>
        <w:spacing w:after="0" w:line="360" w:lineRule="auto"/>
        <w:contextualSpacing w:val="0"/>
        <w:rPr>
          <w:rFonts w:ascii="Cambria" w:hAnsi="Cambria"/>
          <w:sz w:val="24"/>
          <w:szCs w:val="24"/>
        </w:rPr>
      </w:pPr>
      <w:r w:rsidRPr="00787D28">
        <w:rPr>
          <w:rFonts w:ascii="Cambria" w:hAnsi="Cambria"/>
          <w:sz w:val="24"/>
          <w:szCs w:val="24"/>
        </w:rPr>
        <w:t>Diketahui nilai t dari variabel Aset (X1) sebesar -4.096 &lt; 2.01410 ,maka dapat disimpulkan bahwa Aset tidak berpengaruh terhadap nilai perusahaan.</w:t>
      </w:r>
    </w:p>
    <w:p w14:paraId="2029E814" w14:textId="77777777" w:rsidR="00AA0BD1" w:rsidRPr="00787D28" w:rsidRDefault="00AA0BD1" w:rsidP="00AA0BD1">
      <w:pPr>
        <w:pStyle w:val="ListParagraph"/>
        <w:widowControl w:val="0"/>
        <w:numPr>
          <w:ilvl w:val="0"/>
          <w:numId w:val="21"/>
        </w:numPr>
        <w:autoSpaceDE w:val="0"/>
        <w:autoSpaceDN w:val="0"/>
        <w:spacing w:after="0" w:line="360" w:lineRule="auto"/>
        <w:contextualSpacing w:val="0"/>
        <w:rPr>
          <w:rFonts w:ascii="Cambria" w:hAnsi="Cambria"/>
          <w:sz w:val="24"/>
          <w:szCs w:val="24"/>
        </w:rPr>
      </w:pPr>
      <w:r w:rsidRPr="00787D28">
        <w:rPr>
          <w:rFonts w:ascii="Cambria" w:hAnsi="Cambria"/>
          <w:sz w:val="24"/>
          <w:szCs w:val="24"/>
        </w:rPr>
        <w:t>Diketahui nilai t dari variabel DPR (X2) sebesar 1.636 &lt; 2.01410, maka dapat disimpulkan bahwa DPR tidak berpengaruh terhadap nilai perusahaan.</w:t>
      </w:r>
    </w:p>
    <w:p w14:paraId="02B913C5" w14:textId="77777777" w:rsidR="00AA0BD1" w:rsidRPr="00787D28" w:rsidRDefault="00AA0BD1" w:rsidP="00AA0BD1">
      <w:pPr>
        <w:pStyle w:val="ListParagraph"/>
        <w:widowControl w:val="0"/>
        <w:numPr>
          <w:ilvl w:val="0"/>
          <w:numId w:val="21"/>
        </w:numPr>
        <w:autoSpaceDE w:val="0"/>
        <w:autoSpaceDN w:val="0"/>
        <w:spacing w:after="0" w:line="360" w:lineRule="auto"/>
        <w:contextualSpacing w:val="0"/>
        <w:rPr>
          <w:rFonts w:ascii="Cambria" w:hAnsi="Cambria"/>
          <w:sz w:val="24"/>
          <w:szCs w:val="24"/>
        </w:rPr>
      </w:pPr>
      <w:r w:rsidRPr="00787D28">
        <w:rPr>
          <w:rFonts w:ascii="Cambria" w:hAnsi="Cambria"/>
          <w:sz w:val="24"/>
          <w:szCs w:val="24"/>
        </w:rPr>
        <w:t>Diketahui nilai t dari variabel DER (X3) sebesar 0.007&lt; 2.01410, maka dapat disimpulkan bahwa DER tidak berpengaruh terhadap nilai perusahaan.</w:t>
      </w:r>
    </w:p>
    <w:p w14:paraId="11383181" w14:textId="77777777" w:rsidR="00AA0BD1" w:rsidRPr="00787D28" w:rsidRDefault="00AA0BD1" w:rsidP="00AA0BD1">
      <w:pPr>
        <w:pStyle w:val="ListParagraph"/>
        <w:widowControl w:val="0"/>
        <w:numPr>
          <w:ilvl w:val="0"/>
          <w:numId w:val="21"/>
        </w:numPr>
        <w:autoSpaceDE w:val="0"/>
        <w:autoSpaceDN w:val="0"/>
        <w:spacing w:after="0" w:line="360" w:lineRule="auto"/>
        <w:contextualSpacing w:val="0"/>
        <w:rPr>
          <w:rFonts w:ascii="Cambria" w:hAnsi="Cambria"/>
          <w:sz w:val="24"/>
          <w:szCs w:val="24"/>
        </w:rPr>
      </w:pPr>
      <w:r w:rsidRPr="00787D28">
        <w:rPr>
          <w:rFonts w:ascii="Cambria" w:hAnsi="Cambria"/>
          <w:sz w:val="24"/>
          <w:szCs w:val="24"/>
        </w:rPr>
        <w:t>Diketahui nilai t dari variabel Laba (X4) sebesar 6.647 &gt; 2.01410, maka dapat disimpulkan bahwa Laba berpengaruh signifikan terhadap nilai perusahaan.</w:t>
      </w:r>
    </w:p>
    <w:p w14:paraId="33CFD98A" w14:textId="77777777" w:rsidR="00AA0BD1" w:rsidRPr="00787D28" w:rsidRDefault="00AA0BD1" w:rsidP="00AA0BD1">
      <w:pPr>
        <w:pStyle w:val="BodyText"/>
        <w:spacing w:before="0" w:beforeAutospacing="0" w:after="0" w:afterAutospacing="0"/>
        <w:rPr>
          <w:rFonts w:ascii="Cambria" w:hAnsi="Cambria"/>
        </w:rPr>
      </w:pPr>
      <w:r w:rsidRPr="00787D28">
        <w:rPr>
          <w:rFonts w:ascii="Cambria" w:hAnsi="Cambria"/>
        </w:rPr>
        <w:t xml:space="preserve"> </w:t>
      </w:r>
    </w:p>
    <w:p w14:paraId="6A6636DE" w14:textId="77777777" w:rsidR="00AA0BD1" w:rsidRPr="00787D28" w:rsidRDefault="00AA0BD1" w:rsidP="00AA0BD1">
      <w:pPr>
        <w:pStyle w:val="BodyText"/>
        <w:spacing w:before="0" w:beforeAutospacing="0" w:after="0" w:afterAutospacing="0" w:line="360" w:lineRule="auto"/>
        <w:ind w:firstLine="720"/>
        <w:jc w:val="both"/>
        <w:rPr>
          <w:rFonts w:ascii="Cambria" w:hAnsi="Cambria"/>
        </w:rPr>
      </w:pPr>
    </w:p>
    <w:p w14:paraId="13420B13" w14:textId="77777777" w:rsidR="00AA0BD1" w:rsidRDefault="00AA0BD1" w:rsidP="00AA0BD1">
      <w:pPr>
        <w:pStyle w:val="Heading2"/>
        <w:keepNext w:val="0"/>
        <w:keepLines w:val="0"/>
        <w:widowControl w:val="0"/>
        <w:autoSpaceDE w:val="0"/>
        <w:autoSpaceDN w:val="0"/>
        <w:spacing w:before="0" w:after="0" w:line="240" w:lineRule="auto"/>
        <w:jc w:val="both"/>
        <w:rPr>
          <w:rFonts w:ascii="Cambria" w:hAnsi="Cambria"/>
          <w:sz w:val="24"/>
          <w:szCs w:val="24"/>
          <w:lang w:val="id-ID"/>
        </w:rPr>
      </w:pPr>
    </w:p>
    <w:p w14:paraId="155F070F" w14:textId="77777777" w:rsidR="00E43222" w:rsidRPr="00787D28" w:rsidRDefault="00E43222" w:rsidP="00E43222">
      <w:pPr>
        <w:pStyle w:val="Heading2"/>
        <w:keepNext w:val="0"/>
        <w:keepLines w:val="0"/>
        <w:widowControl w:val="0"/>
        <w:autoSpaceDE w:val="0"/>
        <w:autoSpaceDN w:val="0"/>
        <w:spacing w:before="0" w:after="0" w:line="240" w:lineRule="auto"/>
        <w:jc w:val="both"/>
        <w:rPr>
          <w:rFonts w:ascii="Cambria" w:hAnsi="Cambria"/>
          <w:sz w:val="24"/>
          <w:szCs w:val="24"/>
        </w:rPr>
      </w:pPr>
      <w:r w:rsidRPr="00787D28">
        <w:rPr>
          <w:rFonts w:ascii="Cambria" w:hAnsi="Cambria"/>
          <w:sz w:val="24"/>
          <w:szCs w:val="24"/>
        </w:rPr>
        <w:lastRenderedPageBreak/>
        <w:t>Pembahasan Pengaruh</w:t>
      </w:r>
    </w:p>
    <w:p w14:paraId="799E85DD" w14:textId="70BCFB9B" w:rsidR="00E43222" w:rsidRPr="00E43222" w:rsidRDefault="00E43222" w:rsidP="00E43222">
      <w:pPr>
        <w:pStyle w:val="ListParagraph"/>
        <w:numPr>
          <w:ilvl w:val="0"/>
          <w:numId w:val="24"/>
        </w:numPr>
        <w:rPr>
          <w:rFonts w:ascii="Cambria" w:hAnsi="Cambria"/>
          <w:b/>
          <w:sz w:val="24"/>
          <w:szCs w:val="24"/>
        </w:rPr>
      </w:pPr>
      <w:r w:rsidRPr="00E43222">
        <w:rPr>
          <w:rFonts w:ascii="Cambria" w:hAnsi="Cambria"/>
          <w:b/>
          <w:sz w:val="24"/>
          <w:szCs w:val="24"/>
        </w:rPr>
        <w:t>Pengaruh Aset Terhadap Nilai Perusahaan</w:t>
      </w:r>
    </w:p>
    <w:p w14:paraId="5182710F" w14:textId="77777777" w:rsidR="00E43222" w:rsidRPr="00787D28" w:rsidRDefault="00E43222" w:rsidP="00E43222">
      <w:pPr>
        <w:pStyle w:val="BodyText"/>
        <w:spacing w:before="0" w:beforeAutospacing="0" w:after="0" w:afterAutospacing="0" w:line="360" w:lineRule="auto"/>
        <w:ind w:firstLine="720"/>
        <w:jc w:val="both"/>
        <w:rPr>
          <w:rFonts w:ascii="Cambria" w:hAnsi="Cambria"/>
        </w:rPr>
      </w:pPr>
      <w:r w:rsidRPr="00787D28">
        <w:rPr>
          <w:rFonts w:ascii="Cambria" w:hAnsi="Cambria"/>
        </w:rPr>
        <w:t>Nilai Perusahaan pada perusahaan sektor perbankan di BEI periode 2017-2021 secara signifikan dipengaruhi oleh aset. Pertumbuhan aset merupakan istilah yang digunakan untuk menggambarkan pertambahan total aset perusahaan yang meliputi aset lancar dan tidak lancar. Aset lancar adalah aset yang dapat dikonversi ke dalam mata uang, ditransfer, atau digunakan dalam jangka waktu satu tahun, sesuai dengan kegiatan operasional perusahaan pada umumnya. Perusahaan dengan pertumbuhan aset yang besar cenderung membagikan dividen yang lebih besar karena adanya potensi fluktuasi nilai perusahaan yang mungkin terjadi akibat pertumbuhan aset yang tinggi. Oleh karena itu, dapat disimpulkan bahwa peningkatan tingkat pengembalian investasi dapat menjadi hasil dari pertumbuhan aset yang tinggi (Chaidir, 2015:13).</w:t>
      </w:r>
    </w:p>
    <w:p w14:paraId="14383D5F" w14:textId="77777777" w:rsidR="00E43222" w:rsidRPr="00787D28" w:rsidRDefault="00E43222" w:rsidP="00E43222">
      <w:pPr>
        <w:pStyle w:val="BodyText"/>
        <w:spacing w:before="0" w:beforeAutospacing="0" w:after="0" w:afterAutospacing="0" w:line="360" w:lineRule="auto"/>
        <w:jc w:val="both"/>
        <w:rPr>
          <w:rFonts w:ascii="Cambria" w:hAnsi="Cambria"/>
        </w:rPr>
      </w:pPr>
      <w:r w:rsidRPr="00787D28">
        <w:rPr>
          <w:rFonts w:ascii="Cambria" w:hAnsi="Cambria"/>
        </w:rPr>
        <w:t>Pertumbuhan aset didefinisikan sebagai selisih (kenaikan atau penurunan) total aset saat ini dibandingkan dengan perubahan total aset di masa lalu. Hal ini merupakan indikator positif bagi perkembangan perusahaan, dan baik pihak internal maupun eksternal sangat menginginkan pertumbuhan aset yang positif. Investor dan kreditor lebih cenderung mengejar perusahaan dengan total aset yang besar, karena hal ini mengindikasikan kemampuan perusahaan dalam menghasilkan laba yang dapat digunakan untuk menambah kuantitas aset, sehingga dapat meningkatkan nilai perusahaan (Meidiawati dan Mildawati, 2016:5). Kesimpulan bahwa pertumbuhan aset berpengaruh positif terhadap nilai perusahaan didukung oleh penelitian yang dilakukan oleh Chaidir (2015), Gustian (2017), dan Purwani dan Oktavia (2018).</w:t>
      </w:r>
    </w:p>
    <w:p w14:paraId="4C970EB9" w14:textId="77777777" w:rsidR="00E43222" w:rsidRDefault="00E43222" w:rsidP="00E43222">
      <w:pPr>
        <w:spacing w:after="0"/>
        <w:rPr>
          <w:rFonts w:ascii="Cambria" w:hAnsi="Cambria"/>
          <w:sz w:val="24"/>
          <w:szCs w:val="24"/>
          <w:lang w:val="id-ID"/>
        </w:rPr>
      </w:pPr>
    </w:p>
    <w:p w14:paraId="6A6BD162" w14:textId="6D7DEF33" w:rsidR="00E43222" w:rsidRPr="00787D28" w:rsidRDefault="00E43222" w:rsidP="00E43222">
      <w:pPr>
        <w:pStyle w:val="Heading2"/>
        <w:keepNext w:val="0"/>
        <w:keepLines w:val="0"/>
        <w:widowControl w:val="0"/>
        <w:numPr>
          <w:ilvl w:val="0"/>
          <w:numId w:val="24"/>
        </w:numPr>
        <w:autoSpaceDE w:val="0"/>
        <w:autoSpaceDN w:val="0"/>
        <w:spacing w:before="0" w:after="0" w:line="240" w:lineRule="auto"/>
        <w:jc w:val="both"/>
        <w:rPr>
          <w:rFonts w:ascii="Cambria" w:hAnsi="Cambria"/>
          <w:sz w:val="24"/>
          <w:szCs w:val="24"/>
        </w:rPr>
      </w:pPr>
      <w:r w:rsidRPr="00787D28">
        <w:rPr>
          <w:rFonts w:ascii="Cambria" w:hAnsi="Cambria"/>
          <w:sz w:val="24"/>
          <w:szCs w:val="24"/>
        </w:rPr>
        <w:t>Pengaruh Kebijakan Dividen Terhadap Nilai Perusahaan</w:t>
      </w:r>
    </w:p>
    <w:p w14:paraId="454C9E01" w14:textId="77777777" w:rsidR="00E43222" w:rsidRPr="00787D28" w:rsidRDefault="00E43222" w:rsidP="00E43222">
      <w:pPr>
        <w:pStyle w:val="BodyText"/>
        <w:spacing w:before="0" w:beforeAutospacing="0" w:after="0" w:afterAutospacing="0" w:line="360" w:lineRule="auto"/>
        <w:ind w:firstLine="720"/>
        <w:jc w:val="both"/>
        <w:rPr>
          <w:rFonts w:ascii="Cambria" w:hAnsi="Cambria"/>
        </w:rPr>
      </w:pPr>
      <w:r w:rsidRPr="00787D28">
        <w:rPr>
          <w:rFonts w:ascii="Cambria" w:hAnsi="Cambria"/>
        </w:rPr>
        <w:t xml:space="preserve">Untuk periode 2017-2021, Nilai Perusahaan perusahaan sektor perbankan di BEI tidak dipengaruhi oleh kebijakan dividen. Dividen merupakan bagian dari laba bersih yang diterima perusahaan, sehingga dividen akan dibagikan ketika perusahaan menghasilkan laba. Nilai suatu perusahaan tidak ditentukan oleh besarnya dividend payout ratio (DPR), seperti yang dikemukakan oleh Modigliani dan Miller (MM) seperti yang dijelaskan oleh Atmaja (2003), tetapi lebih ditentukan oleh tingkat risiko perusahaan dan laba bersih setelah pajak (EBIT). Banyak ahli telah menggarisbawahi premis bahwa pajak tidak dapat </w:t>
      </w:r>
      <w:r w:rsidRPr="00787D28">
        <w:rPr>
          <w:rFonts w:ascii="Cambria" w:hAnsi="Cambria"/>
        </w:rPr>
        <w:lastRenderedPageBreak/>
        <w:t>diterapkan. Dividen dan pendapatan capital gain investor akan dikenakan pajak dalam konteks pajak. Investor cenderung lebih menyukai keuntungan modal daripada dividen ketika pajak atas keuntungan modal setara, karena pajak atas keuntungan modal hanya dinilai pada saat penjualan saham dan pengakuan keuntungan.</w:t>
      </w:r>
    </w:p>
    <w:p w14:paraId="27565A71" w14:textId="77777777" w:rsidR="00E43222" w:rsidRPr="00787D28" w:rsidRDefault="00E43222" w:rsidP="00E43222">
      <w:pPr>
        <w:pStyle w:val="BodyText"/>
        <w:spacing w:before="0" w:beforeAutospacing="0" w:after="0" w:afterAutospacing="0" w:line="360" w:lineRule="auto"/>
        <w:jc w:val="both"/>
        <w:rPr>
          <w:rFonts w:ascii="Cambria" w:hAnsi="Cambria"/>
        </w:rPr>
      </w:pPr>
      <w:r w:rsidRPr="00787D28">
        <w:rPr>
          <w:rFonts w:ascii="Cambria" w:hAnsi="Cambria"/>
        </w:rPr>
        <w:t>Menurut Litzenberger dan Ramaswamy, investor lebih menyukai capital gain karena kemampuan untuk menunda kewajiban pajak, yang difasilitasi oleh adanya pajak atas dividen dan capital gain. Perspektif ini menyatakan bahwa nilai perusahaan akan menurun ketika rasio pembayaran dividen meningkat. Anggapan ini didasarkan pada anggapan bahwa pajak atas keuntungan modal lebih ringan daripada pajak atas dividen.</w:t>
      </w:r>
    </w:p>
    <w:p w14:paraId="02FB3931" w14:textId="77777777" w:rsidR="00E43222" w:rsidRDefault="00E43222" w:rsidP="00E43222">
      <w:pPr>
        <w:pStyle w:val="Heading2"/>
        <w:spacing w:before="0" w:after="0"/>
        <w:rPr>
          <w:rFonts w:ascii="Cambria" w:hAnsi="Cambria"/>
          <w:sz w:val="24"/>
          <w:szCs w:val="24"/>
          <w:lang w:val="id-ID"/>
        </w:rPr>
      </w:pPr>
    </w:p>
    <w:p w14:paraId="36D85EDE" w14:textId="409009E7" w:rsidR="00E43222" w:rsidRPr="00787D28" w:rsidRDefault="00E43222" w:rsidP="00E43222">
      <w:pPr>
        <w:pStyle w:val="Heading2"/>
        <w:numPr>
          <w:ilvl w:val="0"/>
          <w:numId w:val="24"/>
        </w:numPr>
        <w:spacing w:before="0" w:after="0"/>
        <w:rPr>
          <w:rFonts w:ascii="Cambria" w:hAnsi="Cambria"/>
          <w:sz w:val="24"/>
          <w:szCs w:val="24"/>
        </w:rPr>
      </w:pPr>
      <w:r w:rsidRPr="00787D28">
        <w:rPr>
          <w:rFonts w:ascii="Cambria" w:hAnsi="Cambria"/>
          <w:sz w:val="24"/>
          <w:szCs w:val="24"/>
        </w:rPr>
        <w:t xml:space="preserve"> Pengaruh Kebijakan Utang Terhadap Nilai Perusahaan</w:t>
      </w:r>
    </w:p>
    <w:p w14:paraId="25BC3EDF" w14:textId="77777777" w:rsidR="00E43222" w:rsidRPr="00787D28" w:rsidRDefault="00E43222" w:rsidP="00E43222">
      <w:pPr>
        <w:pStyle w:val="BodyText"/>
        <w:spacing w:before="0" w:beforeAutospacing="0" w:after="0" w:afterAutospacing="0" w:line="360" w:lineRule="auto"/>
        <w:ind w:firstLine="720"/>
        <w:jc w:val="both"/>
        <w:rPr>
          <w:rFonts w:ascii="Cambria" w:hAnsi="Cambria"/>
        </w:rPr>
      </w:pPr>
      <w:r w:rsidRPr="00787D28">
        <w:rPr>
          <w:rFonts w:ascii="Cambria" w:hAnsi="Cambria"/>
        </w:rPr>
        <w:t>Kebijakan Hutang tidak berpengaruh terhadap nilai perusahaan pada sektor keuangan yang terdaftar di BEI selama periode 2017-2021. Perusahaan dianggap berisiko jika memiliki jumlah utang yang besar dalam struktur modalnya. Sebaliknya, perusahaan dianggap tidak mampu memanfaatkan tambahan modal eksternal yang dapat meningkatkan operasinya jika menggunakan sedikit atau tanpa hutang (Brigham dan Houston, 2001).</w:t>
      </w:r>
    </w:p>
    <w:p w14:paraId="41C4AAC8" w14:textId="77777777" w:rsidR="00E43222" w:rsidRPr="00787D28" w:rsidRDefault="00E43222" w:rsidP="00E43222">
      <w:pPr>
        <w:pStyle w:val="BodyText"/>
        <w:spacing w:before="0" w:beforeAutospacing="0" w:after="0" w:afterAutospacing="0" w:line="360" w:lineRule="auto"/>
        <w:jc w:val="both"/>
        <w:rPr>
          <w:rFonts w:ascii="Cambria" w:hAnsi="Cambria"/>
        </w:rPr>
      </w:pPr>
      <w:r w:rsidRPr="00787D28">
        <w:rPr>
          <w:rFonts w:ascii="Cambria" w:hAnsi="Cambria"/>
        </w:rPr>
        <w:t>Dalam Atmaja (2003), Modigliani dan Miller menyatakan bahwa biaya modal ekuitas akan meningkat sebagai akibat dari meningkatnya penggunaan hutang, yang dapat mengakibatkan risiko yang jauh lebih tinggi. Akibatnya, penggunaan hutang dianggap tidak dapat meningkatkan nilai perusahaan, karena keuntungan dari penurunan biaya hutang akan diimbangi dengan peningkatan biaya modal sendiri. Jika tidak diimbangi dengan pemanfaatan hutang yang tepat, peningkatan hutang juga dapat mengakibatkan peningkatan risiko kebangkrutan. Chowdhuri (2010) dan Benardi (2010) menemukan adanya korelasi negatif antara nilai perusahaan dan kebijakan hutang dalam penelitiannya. Terbukti bahwa nilai perusahaan menurun sebagai akibat dari meningkatnya risiko yang terkait dengan hutang yang besar. Hal ini disebabkan oleh fakta bahwa leverage yang lebih tinggi mengakibatkan financial distress, yang pada akhirnya menurunkan nilai perusahaan.yang semakin tinggi akan menimbulkan financial distress sehingga nilai perusahaan menurun.</w:t>
      </w:r>
    </w:p>
    <w:p w14:paraId="684E17AF" w14:textId="77777777" w:rsidR="00E43222" w:rsidRDefault="00E43222" w:rsidP="00E43222">
      <w:pPr>
        <w:pStyle w:val="Heading2"/>
        <w:spacing w:before="0" w:after="0"/>
        <w:rPr>
          <w:rFonts w:ascii="Cambria" w:hAnsi="Cambria"/>
          <w:sz w:val="24"/>
          <w:szCs w:val="24"/>
          <w:lang w:val="id-ID"/>
        </w:rPr>
      </w:pPr>
    </w:p>
    <w:p w14:paraId="30D89638" w14:textId="7F902EF2" w:rsidR="00E43222" w:rsidRPr="00787D28" w:rsidRDefault="00E43222" w:rsidP="00E43222">
      <w:pPr>
        <w:pStyle w:val="Heading2"/>
        <w:numPr>
          <w:ilvl w:val="0"/>
          <w:numId w:val="24"/>
        </w:numPr>
        <w:spacing w:before="0" w:after="0"/>
        <w:rPr>
          <w:rFonts w:ascii="Cambria" w:hAnsi="Cambria"/>
          <w:sz w:val="24"/>
          <w:szCs w:val="24"/>
        </w:rPr>
      </w:pPr>
      <w:r w:rsidRPr="00787D28">
        <w:rPr>
          <w:rFonts w:ascii="Cambria" w:hAnsi="Cambria"/>
          <w:sz w:val="24"/>
          <w:szCs w:val="24"/>
        </w:rPr>
        <w:t xml:space="preserve"> Pengaruh Laba Terhadap Nilai Perusahaan</w:t>
      </w:r>
    </w:p>
    <w:p w14:paraId="1CE3F875" w14:textId="403FB8DF" w:rsidR="00E43222" w:rsidRDefault="00E43222" w:rsidP="00E43222">
      <w:pPr>
        <w:spacing w:after="0" w:line="360" w:lineRule="auto"/>
        <w:ind w:firstLine="720"/>
        <w:jc w:val="both"/>
        <w:rPr>
          <w:rFonts w:ascii="Cambria" w:hAnsi="Cambria"/>
          <w:sz w:val="24"/>
          <w:szCs w:val="24"/>
          <w:lang w:val="id-ID"/>
        </w:rPr>
      </w:pPr>
      <w:r w:rsidRPr="00E43222">
        <w:rPr>
          <w:rFonts w:ascii="Cambria" w:hAnsi="Cambria"/>
          <w:sz w:val="24"/>
          <w:szCs w:val="24"/>
        </w:rPr>
        <w:t>Untuk periode 2017-2021, nilai perusahaan di sektor keuangan yang terdaftar di Bursa Efek Indonesia secara signifikan dipengaruhi oleh laba. Dalam dunia keuangan perusahaan, dampak laba terhadap nilai perusahaan merupakan faktor yang sangat penting, dan terdapat berbagai macam perspektif di antara para ahli mengenai hubungan ini. Banyak ahli keuangan menganggap laba sebagai salah satu faktor utama yang dapat mempengaruhi nilai perusahaan dalam literatur keuangan. Laba perusahaan adalah indikator kinerja keuangan yang menunjukkan kapasitas perusahaan untuk menghasilkan laba. Kenneth French dan Eugene Fama: Eugene Fama dan Kenneth French telah memperkenalkan konsep faktor-faktor yang memengaruhi harga saham dalam konteks teori pasar modal. Terlepas dari kenyataan bahwa keduanya diakui atas kontribusinya di bidang harga dan risiko saham, perspektif mereka telah menumbuhkan pemahaman bahwa pasar sering kali memberikan penilaian yang lebih tinggi kepada perusahaan yang menghasilkan laba yang besar. Myron J. Gordon: Teori Dividend Discount Model (DDM), yang ia kembangkan bersama Eli Shapiro, menyatakan bahwa nilai sekarang dari sebuah perusahaan dapat ditentukan sebagai agregat dari semua dividen yang diantisipasi. Selain itu, laba yang</w:t>
      </w:r>
      <w:r w:rsidRPr="00E43222">
        <w:rPr>
          <w:rFonts w:ascii="Cambria" w:hAnsi="Cambria"/>
          <w:sz w:val="24"/>
          <w:szCs w:val="24"/>
          <w:lang w:val="id-ID"/>
        </w:rPr>
        <w:t xml:space="preserve"> </w:t>
      </w:r>
      <w:r w:rsidRPr="00E43222">
        <w:rPr>
          <w:rFonts w:ascii="Cambria" w:hAnsi="Cambria"/>
          <w:sz w:val="24"/>
          <w:szCs w:val="24"/>
        </w:rPr>
        <w:t>tinggi dapat menjadi dasar bagi peningkatan dividen.</w:t>
      </w:r>
    </w:p>
    <w:p w14:paraId="03B42A63" w14:textId="77777777" w:rsidR="00E43222" w:rsidRDefault="00E43222" w:rsidP="00E43222">
      <w:pPr>
        <w:spacing w:after="0" w:line="360" w:lineRule="auto"/>
        <w:ind w:firstLine="720"/>
        <w:jc w:val="both"/>
        <w:rPr>
          <w:rFonts w:ascii="Cambria" w:hAnsi="Cambria"/>
          <w:sz w:val="24"/>
          <w:szCs w:val="24"/>
          <w:lang w:val="id-ID"/>
        </w:rPr>
      </w:pPr>
    </w:p>
    <w:p w14:paraId="4DDFA938" w14:textId="32632BF2" w:rsidR="00E43222" w:rsidRPr="00856FAB" w:rsidRDefault="00856FAB" w:rsidP="00E43222">
      <w:pPr>
        <w:spacing w:after="60" w:line="276" w:lineRule="auto"/>
        <w:rPr>
          <w:rFonts w:ascii="Cambria" w:eastAsia="Cambria" w:hAnsi="Cambria" w:cs="Cambria"/>
          <w:b/>
          <w:sz w:val="30"/>
          <w:szCs w:val="30"/>
          <w:lang w:val="id-ID"/>
        </w:rPr>
      </w:pPr>
      <w:r w:rsidRPr="00856FAB">
        <w:rPr>
          <w:rFonts w:ascii="Cambria" w:eastAsia="Cambria" w:hAnsi="Cambria" w:cs="Cambria"/>
          <w:b/>
          <w:sz w:val="30"/>
          <w:szCs w:val="30"/>
          <w:lang w:val="id-ID"/>
        </w:rPr>
        <w:t>Kesimpulan dan Saran</w:t>
      </w:r>
    </w:p>
    <w:p w14:paraId="064A3325" w14:textId="6798BD39" w:rsidR="00E43222" w:rsidRPr="00E43222" w:rsidRDefault="00E43222" w:rsidP="00E43222">
      <w:pPr>
        <w:spacing w:after="60" w:line="276" w:lineRule="auto"/>
        <w:rPr>
          <w:rFonts w:ascii="Cambria" w:eastAsia="Cambria" w:hAnsi="Cambria" w:cs="Cambria"/>
          <w:b/>
          <w:sz w:val="24"/>
          <w:szCs w:val="24"/>
          <w:lang w:val="id-ID"/>
        </w:rPr>
      </w:pPr>
      <w:r>
        <w:rPr>
          <w:rFonts w:ascii="Cambria" w:eastAsia="Cambria" w:hAnsi="Cambria" w:cs="Cambria"/>
          <w:b/>
          <w:sz w:val="24"/>
          <w:szCs w:val="24"/>
          <w:lang w:val="id-ID"/>
        </w:rPr>
        <w:t>Kesimpulan</w:t>
      </w:r>
    </w:p>
    <w:p w14:paraId="7781A9DD" w14:textId="77777777" w:rsidR="00E43222" w:rsidRPr="00E43222" w:rsidRDefault="00E43222" w:rsidP="00E43222">
      <w:pPr>
        <w:pStyle w:val="BodyText"/>
        <w:spacing w:before="0" w:beforeAutospacing="0" w:after="0" w:afterAutospacing="0" w:line="360" w:lineRule="auto"/>
        <w:ind w:firstLine="720"/>
        <w:jc w:val="both"/>
        <w:rPr>
          <w:rFonts w:ascii="Cambria" w:hAnsi="Cambria"/>
        </w:rPr>
      </w:pPr>
      <w:r w:rsidRPr="00E43222">
        <w:rPr>
          <w:rFonts w:ascii="Cambria" w:hAnsi="Cambria"/>
        </w:rPr>
        <w:t>Berdasarkan hasil pengujian hipotesis dan pembahasan yang dilakukan maka dapat diperoleh kesimpulan sebagai berikut :</w:t>
      </w:r>
    </w:p>
    <w:p w14:paraId="445E69A3" w14:textId="77777777" w:rsidR="00E43222" w:rsidRPr="00E43222" w:rsidRDefault="00E43222" w:rsidP="00E43222">
      <w:pPr>
        <w:pStyle w:val="ListParagraph"/>
        <w:widowControl w:val="0"/>
        <w:numPr>
          <w:ilvl w:val="2"/>
          <w:numId w:val="25"/>
        </w:numPr>
        <w:autoSpaceDE w:val="0"/>
        <w:autoSpaceDN w:val="0"/>
        <w:spacing w:after="0" w:line="360" w:lineRule="auto"/>
        <w:ind w:left="1134" w:hanging="425"/>
        <w:contextualSpacing w:val="0"/>
        <w:jc w:val="both"/>
        <w:rPr>
          <w:rFonts w:ascii="Cambria" w:hAnsi="Cambria"/>
          <w:sz w:val="24"/>
          <w:szCs w:val="24"/>
        </w:rPr>
      </w:pPr>
      <w:r w:rsidRPr="00E43222">
        <w:rPr>
          <w:rFonts w:ascii="Cambria" w:hAnsi="Cambria"/>
          <w:sz w:val="24"/>
          <w:szCs w:val="24"/>
        </w:rPr>
        <w:t>Variabel aset berpengaruh signifikan terhadap nilai perusahaan pada perusahaan sektor perbankan di Bursa Efek Indonesia periode 2017-2021.</w:t>
      </w:r>
    </w:p>
    <w:p w14:paraId="750770B2" w14:textId="7DFAD945" w:rsidR="00E43222" w:rsidRPr="00E43222" w:rsidRDefault="00E43222" w:rsidP="00E43222">
      <w:pPr>
        <w:pStyle w:val="ListParagraph"/>
        <w:widowControl w:val="0"/>
        <w:numPr>
          <w:ilvl w:val="2"/>
          <w:numId w:val="25"/>
        </w:numPr>
        <w:autoSpaceDE w:val="0"/>
        <w:autoSpaceDN w:val="0"/>
        <w:spacing w:after="0" w:line="360" w:lineRule="auto"/>
        <w:ind w:left="1134" w:hanging="425"/>
        <w:contextualSpacing w:val="0"/>
        <w:jc w:val="both"/>
        <w:rPr>
          <w:rFonts w:ascii="Cambria" w:hAnsi="Cambria"/>
          <w:sz w:val="24"/>
          <w:szCs w:val="24"/>
        </w:rPr>
      </w:pPr>
      <w:r w:rsidRPr="00E43222">
        <w:rPr>
          <w:rFonts w:ascii="Cambria" w:hAnsi="Cambria"/>
          <w:sz w:val="24"/>
          <w:szCs w:val="24"/>
        </w:rPr>
        <w:t>Variabel</w:t>
      </w:r>
      <w:r w:rsidRPr="00E43222">
        <w:rPr>
          <w:rFonts w:ascii="Cambria" w:hAnsi="Cambria"/>
          <w:sz w:val="24"/>
          <w:szCs w:val="24"/>
        </w:rPr>
        <w:tab/>
        <w:t>kebijakan</w:t>
      </w:r>
      <w:r w:rsidRPr="00E43222">
        <w:rPr>
          <w:rFonts w:ascii="Cambria" w:hAnsi="Cambria"/>
          <w:sz w:val="24"/>
          <w:szCs w:val="24"/>
        </w:rPr>
        <w:tab/>
        <w:t>dividen</w:t>
      </w:r>
      <w:r w:rsidRPr="00E43222">
        <w:rPr>
          <w:rFonts w:ascii="Cambria" w:hAnsi="Cambria"/>
          <w:sz w:val="24"/>
          <w:szCs w:val="24"/>
        </w:rPr>
        <w:tab/>
        <w:t>tidak</w:t>
      </w:r>
      <w:r w:rsidRPr="00E43222">
        <w:rPr>
          <w:rFonts w:ascii="Cambria" w:hAnsi="Cambria"/>
          <w:sz w:val="24"/>
          <w:szCs w:val="24"/>
        </w:rPr>
        <w:tab/>
        <w:t>berpengaruh</w:t>
      </w:r>
      <w:r w:rsidRPr="00E43222">
        <w:rPr>
          <w:rFonts w:ascii="Cambria" w:hAnsi="Cambria"/>
          <w:sz w:val="24"/>
          <w:szCs w:val="24"/>
        </w:rPr>
        <w:tab/>
        <w:t>terhadap</w:t>
      </w:r>
      <w:r w:rsidRPr="00E43222">
        <w:rPr>
          <w:rFonts w:ascii="Cambria" w:hAnsi="Cambria"/>
          <w:sz w:val="24"/>
          <w:szCs w:val="24"/>
        </w:rPr>
        <w:tab/>
      </w:r>
      <w:r>
        <w:rPr>
          <w:rFonts w:ascii="Cambria" w:hAnsi="Cambria"/>
          <w:sz w:val="24"/>
          <w:szCs w:val="24"/>
        </w:rPr>
        <w:t>ni</w:t>
      </w:r>
      <w:r>
        <w:rPr>
          <w:rFonts w:ascii="Cambria" w:hAnsi="Cambria"/>
          <w:sz w:val="24"/>
          <w:szCs w:val="24"/>
          <w:lang w:val="id-ID"/>
        </w:rPr>
        <w:t xml:space="preserve">ai </w:t>
      </w:r>
      <w:r w:rsidRPr="00E43222">
        <w:rPr>
          <w:rFonts w:ascii="Cambria" w:hAnsi="Cambria"/>
          <w:sz w:val="24"/>
          <w:szCs w:val="24"/>
        </w:rPr>
        <w:t>perusahaan</w:t>
      </w:r>
      <w:r>
        <w:rPr>
          <w:rFonts w:ascii="Cambria" w:hAnsi="Cambria"/>
          <w:sz w:val="24"/>
          <w:szCs w:val="24"/>
          <w:lang w:val="id-ID"/>
        </w:rPr>
        <w:t xml:space="preserve"> </w:t>
      </w:r>
      <w:r w:rsidRPr="00E43222">
        <w:rPr>
          <w:rFonts w:ascii="Cambria" w:hAnsi="Cambria"/>
          <w:sz w:val="24"/>
          <w:szCs w:val="24"/>
        </w:rPr>
        <w:t>pada perusahaan sektor perbankan di Bursa Efek Indonesia periode 2017-2021.</w:t>
      </w:r>
    </w:p>
    <w:p w14:paraId="397B5EBE" w14:textId="03D9E126" w:rsidR="00E43222" w:rsidRPr="00E43222" w:rsidRDefault="00E43222" w:rsidP="00E43222">
      <w:pPr>
        <w:pStyle w:val="ListParagraph"/>
        <w:widowControl w:val="0"/>
        <w:numPr>
          <w:ilvl w:val="2"/>
          <w:numId w:val="25"/>
        </w:numPr>
        <w:autoSpaceDE w:val="0"/>
        <w:autoSpaceDN w:val="0"/>
        <w:spacing w:after="0" w:line="360" w:lineRule="auto"/>
        <w:ind w:left="1134" w:hanging="425"/>
        <w:contextualSpacing w:val="0"/>
        <w:jc w:val="both"/>
        <w:rPr>
          <w:rFonts w:ascii="Cambria" w:hAnsi="Cambria"/>
          <w:sz w:val="24"/>
          <w:szCs w:val="24"/>
        </w:rPr>
      </w:pPr>
      <w:r w:rsidRPr="00E43222">
        <w:rPr>
          <w:rFonts w:ascii="Cambria" w:hAnsi="Cambria"/>
          <w:sz w:val="24"/>
          <w:szCs w:val="24"/>
        </w:rPr>
        <w:t>Variabel</w:t>
      </w:r>
      <w:r w:rsidRPr="00E43222">
        <w:rPr>
          <w:rFonts w:ascii="Cambria" w:hAnsi="Cambria"/>
          <w:sz w:val="24"/>
          <w:szCs w:val="24"/>
        </w:rPr>
        <w:tab/>
        <w:t>kebijakan</w:t>
      </w:r>
      <w:r w:rsidRPr="00E43222">
        <w:rPr>
          <w:rFonts w:ascii="Cambria" w:hAnsi="Cambria"/>
          <w:sz w:val="24"/>
          <w:szCs w:val="24"/>
        </w:rPr>
        <w:tab/>
        <w:t>utang</w:t>
      </w:r>
      <w:r w:rsidRPr="00E43222">
        <w:rPr>
          <w:rFonts w:ascii="Cambria" w:hAnsi="Cambria"/>
          <w:sz w:val="24"/>
          <w:szCs w:val="24"/>
        </w:rPr>
        <w:tab/>
        <w:t>tidak</w:t>
      </w:r>
      <w:r w:rsidRPr="00E43222">
        <w:rPr>
          <w:rFonts w:ascii="Cambria" w:hAnsi="Cambria"/>
          <w:sz w:val="24"/>
          <w:szCs w:val="24"/>
        </w:rPr>
        <w:tab/>
        <w:t>berpengaruh</w:t>
      </w:r>
      <w:r w:rsidRPr="00E43222">
        <w:rPr>
          <w:rFonts w:ascii="Cambria" w:hAnsi="Cambria"/>
          <w:sz w:val="24"/>
          <w:szCs w:val="24"/>
        </w:rPr>
        <w:tab/>
        <w:t>terhadap</w:t>
      </w:r>
      <w:r w:rsidRPr="00E43222">
        <w:rPr>
          <w:rFonts w:ascii="Cambria" w:hAnsi="Cambria"/>
          <w:sz w:val="24"/>
          <w:szCs w:val="24"/>
        </w:rPr>
        <w:tab/>
        <w:t>nilai</w:t>
      </w:r>
      <w:r>
        <w:rPr>
          <w:rFonts w:ascii="Cambria" w:hAnsi="Cambria"/>
          <w:sz w:val="24"/>
          <w:szCs w:val="24"/>
          <w:lang w:val="id-ID"/>
        </w:rPr>
        <w:t xml:space="preserve"> </w:t>
      </w:r>
      <w:r w:rsidRPr="00E43222">
        <w:rPr>
          <w:rFonts w:ascii="Cambria" w:hAnsi="Cambria"/>
          <w:sz w:val="24"/>
          <w:szCs w:val="24"/>
        </w:rPr>
        <w:t>perusahaan</w:t>
      </w:r>
      <w:r>
        <w:rPr>
          <w:rFonts w:ascii="Cambria" w:hAnsi="Cambria"/>
          <w:sz w:val="24"/>
          <w:szCs w:val="24"/>
          <w:lang w:val="id-ID"/>
        </w:rPr>
        <w:t xml:space="preserve"> </w:t>
      </w:r>
      <w:r w:rsidRPr="00E43222">
        <w:rPr>
          <w:rFonts w:ascii="Cambria" w:hAnsi="Cambria"/>
          <w:sz w:val="24"/>
          <w:szCs w:val="24"/>
        </w:rPr>
        <w:t>pada perusahaan sektor perbankan di Bursa Efek Indonesia periode 2017-2021.</w:t>
      </w:r>
    </w:p>
    <w:p w14:paraId="4CEE5F16" w14:textId="77777777" w:rsidR="00E43222" w:rsidRPr="00E43222" w:rsidRDefault="00E43222" w:rsidP="00E43222">
      <w:pPr>
        <w:pStyle w:val="ListParagraph"/>
        <w:widowControl w:val="0"/>
        <w:numPr>
          <w:ilvl w:val="2"/>
          <w:numId w:val="25"/>
        </w:numPr>
        <w:autoSpaceDE w:val="0"/>
        <w:autoSpaceDN w:val="0"/>
        <w:spacing w:after="0" w:line="360" w:lineRule="auto"/>
        <w:ind w:left="1134" w:hanging="425"/>
        <w:contextualSpacing w:val="0"/>
        <w:jc w:val="both"/>
        <w:rPr>
          <w:rFonts w:ascii="Cambria" w:hAnsi="Cambria"/>
          <w:sz w:val="24"/>
          <w:szCs w:val="24"/>
        </w:rPr>
      </w:pPr>
      <w:r w:rsidRPr="00E43222">
        <w:rPr>
          <w:rFonts w:ascii="Cambria" w:hAnsi="Cambria"/>
          <w:sz w:val="24"/>
          <w:szCs w:val="24"/>
        </w:rPr>
        <w:lastRenderedPageBreak/>
        <w:t>Variabel laba berpengaruh signifikan terhadap nilai perusahaan pada perusahaan sektor perbankan di Bursa Efek Indonesia periode 2017-2021.</w:t>
      </w:r>
    </w:p>
    <w:p w14:paraId="6FC2B471" w14:textId="77777777" w:rsidR="00E43222" w:rsidRPr="00E43222" w:rsidRDefault="00E43222" w:rsidP="00E43222">
      <w:pPr>
        <w:pStyle w:val="Heading2"/>
        <w:keepNext w:val="0"/>
        <w:keepLines w:val="0"/>
        <w:widowControl w:val="0"/>
        <w:autoSpaceDE w:val="0"/>
        <w:autoSpaceDN w:val="0"/>
        <w:spacing w:before="0" w:after="0" w:line="240" w:lineRule="auto"/>
        <w:jc w:val="both"/>
        <w:rPr>
          <w:rFonts w:ascii="Cambria" w:hAnsi="Cambria"/>
          <w:sz w:val="24"/>
          <w:szCs w:val="24"/>
        </w:rPr>
      </w:pPr>
      <w:r w:rsidRPr="00E43222">
        <w:rPr>
          <w:rFonts w:ascii="Cambria" w:hAnsi="Cambria"/>
          <w:sz w:val="24"/>
          <w:szCs w:val="24"/>
        </w:rPr>
        <w:t>Saran</w:t>
      </w:r>
    </w:p>
    <w:p w14:paraId="1B915102" w14:textId="30946493" w:rsidR="00E43222" w:rsidRPr="00591BBA" w:rsidRDefault="00E43222" w:rsidP="00591BBA">
      <w:pPr>
        <w:pStyle w:val="ListParagraph"/>
        <w:widowControl w:val="0"/>
        <w:numPr>
          <w:ilvl w:val="2"/>
          <w:numId w:val="21"/>
        </w:numPr>
        <w:autoSpaceDE w:val="0"/>
        <w:autoSpaceDN w:val="0"/>
        <w:spacing w:after="0" w:line="360" w:lineRule="auto"/>
        <w:ind w:left="1134" w:hanging="425"/>
        <w:jc w:val="both"/>
        <w:rPr>
          <w:rFonts w:ascii="Cambria" w:hAnsi="Cambria"/>
          <w:sz w:val="24"/>
          <w:szCs w:val="24"/>
        </w:rPr>
      </w:pPr>
      <w:r w:rsidRPr="00591BBA">
        <w:rPr>
          <w:rFonts w:ascii="Cambria" w:hAnsi="Cambria"/>
          <w:sz w:val="24"/>
          <w:szCs w:val="24"/>
        </w:rPr>
        <w:t>Bagi peneliti lain berharap kedepannya dapat melakukan penelitian dengan menambahkan variabel independen lainnya dan/atau mengganti variabel moderating dengan variabel yang berbeda/selain itu, peneliti harus memperhatikan jumlah sampel yang mewakili populasi dan periode pengamatan yang lebih lama dari sektor lain yang terdaftar di Bursa Efek Indonesia agar dapat melakukan penelitian yang lebih akurat.</w:t>
      </w:r>
    </w:p>
    <w:p w14:paraId="3BA75F0F" w14:textId="74ABF2EA" w:rsidR="00E43222" w:rsidRPr="00591BBA" w:rsidRDefault="00E43222" w:rsidP="00591BBA">
      <w:pPr>
        <w:pStyle w:val="ListParagraph"/>
        <w:widowControl w:val="0"/>
        <w:numPr>
          <w:ilvl w:val="2"/>
          <w:numId w:val="21"/>
        </w:numPr>
        <w:autoSpaceDE w:val="0"/>
        <w:autoSpaceDN w:val="0"/>
        <w:spacing w:after="0" w:line="360" w:lineRule="auto"/>
        <w:ind w:left="1134" w:hanging="425"/>
        <w:jc w:val="both"/>
        <w:rPr>
          <w:rFonts w:ascii="Cambria" w:hAnsi="Cambria"/>
          <w:sz w:val="24"/>
          <w:szCs w:val="24"/>
        </w:rPr>
      </w:pPr>
      <w:r w:rsidRPr="00591BBA">
        <w:rPr>
          <w:rFonts w:ascii="Cambria" w:hAnsi="Cambria"/>
          <w:sz w:val="24"/>
          <w:szCs w:val="24"/>
        </w:rPr>
        <w:t>Bagi investor, peneliti berharap bahwa setiap saat selalu untuk mempertimbangkan diversifikasi portofolio mereka dengan memahami pengaruh aset ,kebijakan dividen</w:t>
      </w:r>
      <w:r w:rsidR="00591BBA" w:rsidRPr="00591BBA">
        <w:rPr>
          <w:rFonts w:ascii="Cambria" w:hAnsi="Cambria"/>
          <w:sz w:val="24"/>
          <w:szCs w:val="24"/>
          <w:lang w:val="id-ID"/>
        </w:rPr>
        <w:t xml:space="preserve"> </w:t>
      </w:r>
      <w:r w:rsidRPr="00591BBA">
        <w:rPr>
          <w:rFonts w:ascii="Cambria" w:hAnsi="Cambria"/>
          <w:sz w:val="24"/>
          <w:szCs w:val="24"/>
        </w:rPr>
        <w:t>,kebijakan utang dan moderasi laba terhadap nilai perusahaan untuk mengurangi risiko,memaksimalkan keuntungan pada portofolionya.</w:t>
      </w:r>
    </w:p>
    <w:p w14:paraId="1EF6A7AE" w14:textId="77700CA5" w:rsidR="00E43222" w:rsidRPr="00591BBA" w:rsidRDefault="00591BBA" w:rsidP="00591BBA">
      <w:pPr>
        <w:pStyle w:val="ListParagraph"/>
        <w:widowControl w:val="0"/>
        <w:numPr>
          <w:ilvl w:val="2"/>
          <w:numId w:val="21"/>
        </w:numPr>
        <w:autoSpaceDE w:val="0"/>
        <w:autoSpaceDN w:val="0"/>
        <w:spacing w:before="100" w:beforeAutospacing="1" w:after="100" w:afterAutospacing="1" w:line="360" w:lineRule="auto"/>
        <w:ind w:left="1134" w:hanging="425"/>
        <w:jc w:val="both"/>
        <w:rPr>
          <w:rFonts w:ascii="Cambria" w:hAnsi="Cambria"/>
          <w:sz w:val="24"/>
          <w:szCs w:val="24"/>
        </w:rPr>
      </w:pPr>
      <w:r w:rsidRPr="00591BBA">
        <w:rPr>
          <w:rFonts w:ascii="Cambria" w:hAnsi="Cambria"/>
          <w:sz w:val="24"/>
          <w:szCs w:val="24"/>
          <w:lang w:val="id-ID"/>
        </w:rPr>
        <w:t>b</w:t>
      </w:r>
      <w:r w:rsidR="00E43222" w:rsidRPr="00591BBA">
        <w:rPr>
          <w:rFonts w:ascii="Cambria" w:hAnsi="Cambria"/>
          <w:sz w:val="24"/>
          <w:szCs w:val="24"/>
        </w:rPr>
        <w:t>agi peneliti, penting untuk memperluas jangkauan penelitian dan mendapatkan wawasan yang lebih dalam dengan berkolaborasi. Kolaborasi dapat membuka pintu bagi penelitian yang lebih menyeluruh dan bermakna. Selain itu, penelitian harus dipandu oleh inovasi agar dapat memberikan kontribusi signifikan pada pengembangan ilmu pengetahuan. Kolaborasi antarpeneliti dapat mencakup pertukaran ide, pengalaman, dan metode penelitian. Dengan bekerja bersama, peneliti dapat menyatukan keahlian dan sumber daya mereka untuk menjawab pertanyaan penelitian yang kompleks dan mendalam.</w:t>
      </w:r>
    </w:p>
    <w:p w14:paraId="33CAB358" w14:textId="77777777" w:rsidR="00591BBA" w:rsidRPr="00591BBA" w:rsidRDefault="00591BBA" w:rsidP="00591BBA">
      <w:pPr>
        <w:pStyle w:val="ListParagraph"/>
        <w:widowControl w:val="0"/>
        <w:autoSpaceDE w:val="0"/>
        <w:autoSpaceDN w:val="0"/>
        <w:spacing w:before="100" w:beforeAutospacing="1" w:after="100" w:afterAutospacing="1" w:line="360" w:lineRule="auto"/>
        <w:ind w:left="1134"/>
        <w:jc w:val="both"/>
        <w:rPr>
          <w:rFonts w:ascii="Cambria" w:hAnsi="Cambria"/>
          <w:sz w:val="24"/>
          <w:szCs w:val="24"/>
        </w:rPr>
      </w:pPr>
    </w:p>
    <w:p w14:paraId="3D3EAD62" w14:textId="77777777" w:rsidR="00591BBA" w:rsidRPr="00591BBA" w:rsidRDefault="00591BBA" w:rsidP="00591BBA">
      <w:pPr>
        <w:spacing w:after="60" w:line="276" w:lineRule="auto"/>
        <w:ind w:left="360"/>
        <w:rPr>
          <w:rFonts w:ascii="Cambria" w:eastAsia="Cambria" w:hAnsi="Cambria" w:cs="Cambria"/>
          <w:b/>
          <w:sz w:val="24"/>
          <w:szCs w:val="24"/>
        </w:rPr>
      </w:pPr>
      <w:r w:rsidRPr="00591BBA">
        <w:rPr>
          <w:rFonts w:ascii="Cambria" w:eastAsia="Cambria" w:hAnsi="Cambria" w:cs="Cambria"/>
          <w:b/>
          <w:sz w:val="24"/>
          <w:szCs w:val="24"/>
        </w:rPr>
        <w:t>REFERENCES</w:t>
      </w:r>
    </w:p>
    <w:p w14:paraId="00B729A8" w14:textId="77777777" w:rsidR="00591BBA" w:rsidRPr="00591BBA" w:rsidRDefault="00591BBA" w:rsidP="00591BBA">
      <w:pPr>
        <w:pStyle w:val="BodyText"/>
        <w:spacing w:before="0" w:beforeAutospacing="0" w:after="0" w:afterAutospacing="0" w:line="276" w:lineRule="auto"/>
        <w:ind w:left="1440" w:hanging="873"/>
        <w:jc w:val="both"/>
        <w:rPr>
          <w:rFonts w:ascii="Cambria" w:hAnsi="Cambria"/>
        </w:rPr>
      </w:pPr>
      <w:r w:rsidRPr="00591BBA">
        <w:rPr>
          <w:rFonts w:ascii="Cambria" w:hAnsi="Cambria"/>
        </w:rPr>
        <w:t>Agus Harjito dan Martono. 2010. Manajemen Keuangan. Yogyakarta. Ekonisia</w:t>
      </w:r>
    </w:p>
    <w:p w14:paraId="0DC5CB6E" w14:textId="77777777" w:rsidR="00591BBA" w:rsidRPr="00591BBA" w:rsidRDefault="00591BBA" w:rsidP="00591BBA">
      <w:pPr>
        <w:pStyle w:val="BodyText"/>
        <w:spacing w:before="0" w:beforeAutospacing="0" w:after="0" w:afterAutospacing="0" w:line="276" w:lineRule="auto"/>
        <w:ind w:left="1440" w:hanging="873"/>
        <w:jc w:val="both"/>
        <w:rPr>
          <w:rFonts w:ascii="Cambria" w:hAnsi="Cambria"/>
        </w:rPr>
      </w:pPr>
      <w:r w:rsidRPr="00591BBA">
        <w:rPr>
          <w:rFonts w:ascii="Cambria" w:hAnsi="Cambria"/>
        </w:rPr>
        <w:t>Analisis</w:t>
      </w:r>
      <w:r w:rsidRPr="00591BBA">
        <w:rPr>
          <w:rFonts w:ascii="Cambria" w:hAnsi="Cambria"/>
        </w:rPr>
        <w:tab/>
        <w:t>Amar</w:t>
      </w:r>
      <w:r w:rsidRPr="00591BBA">
        <w:rPr>
          <w:rFonts w:ascii="Cambria" w:hAnsi="Cambria"/>
        </w:rPr>
        <w:tab/>
        <w:t>Statistika.(2021).</w:t>
      </w:r>
      <w:r w:rsidRPr="00591BBA">
        <w:rPr>
          <w:rFonts w:ascii="Cambria" w:hAnsi="Cambria"/>
        </w:rPr>
        <w:tab/>
        <w:t>Metode</w:t>
      </w:r>
      <w:r w:rsidRPr="00591BBA">
        <w:rPr>
          <w:rFonts w:ascii="Cambria" w:hAnsi="Cambria"/>
        </w:rPr>
        <w:tab/>
        <w:t>Analisis</w:t>
      </w:r>
      <w:r w:rsidRPr="00591BBA">
        <w:rPr>
          <w:rFonts w:ascii="Cambria" w:hAnsi="Cambria"/>
        </w:rPr>
        <w:tab/>
        <w:t>Regresi</w:t>
      </w:r>
      <w:r w:rsidRPr="00591BBA">
        <w:rPr>
          <w:rFonts w:ascii="Cambria" w:hAnsi="Cambria"/>
        </w:rPr>
        <w:tab/>
        <w:t>Linear</w:t>
      </w:r>
      <w:r w:rsidRPr="00591BBA">
        <w:rPr>
          <w:rFonts w:ascii="Cambria" w:hAnsi="Cambria"/>
        </w:rPr>
        <w:tab/>
        <w:t>Berganda</w:t>
      </w:r>
      <w:r w:rsidRPr="00591BBA">
        <w:rPr>
          <w:rFonts w:ascii="Cambria" w:hAnsi="Cambria"/>
        </w:rPr>
        <w:tab/>
        <w:t>Dengan Moderasi.https://amarstatistika.com/2021/10/06/metode-analisis-regresi-linear-berganda- dengan-moderasi/</w:t>
      </w:r>
    </w:p>
    <w:p w14:paraId="7819F3AE" w14:textId="77777777" w:rsidR="00591BBA" w:rsidRPr="00591BBA" w:rsidRDefault="00591BBA" w:rsidP="00591BBA">
      <w:pPr>
        <w:pStyle w:val="BodyText"/>
        <w:spacing w:before="0" w:beforeAutospacing="0" w:after="0" w:afterAutospacing="0" w:line="276" w:lineRule="auto"/>
        <w:ind w:left="1440" w:hanging="873"/>
        <w:jc w:val="both"/>
        <w:rPr>
          <w:rFonts w:ascii="Cambria" w:hAnsi="Cambria"/>
        </w:rPr>
      </w:pPr>
      <w:r w:rsidRPr="00591BBA">
        <w:rPr>
          <w:rFonts w:ascii="Cambria" w:hAnsi="Cambria"/>
        </w:rPr>
        <w:t xml:space="preserve">Apridasari, E., Susanti, L. D., &amp; Murcitaningrum, S. (2018). Analisis Pengaruh Arifin, B. (2012). Sejarah Perdagangan Saham di Indonesia. Jakarta: Kompas. Atmaja, </w:t>
      </w:r>
      <w:r w:rsidRPr="00591BBA">
        <w:rPr>
          <w:rFonts w:ascii="Cambria" w:hAnsi="Cambria"/>
        </w:rPr>
        <w:lastRenderedPageBreak/>
        <w:t>Lukas Setia. 2003. Manajemen Keuangan, Edisi revisi. Yogyakarta: Andi.</w:t>
      </w:r>
    </w:p>
    <w:p w14:paraId="16A652D0" w14:textId="77777777" w:rsidR="00591BBA" w:rsidRPr="00591BBA" w:rsidRDefault="00591BBA" w:rsidP="00591BBA">
      <w:pPr>
        <w:pStyle w:val="BodyText"/>
        <w:spacing w:before="0" w:beforeAutospacing="0" w:after="0" w:afterAutospacing="0" w:line="276" w:lineRule="auto"/>
        <w:ind w:left="1440" w:hanging="873"/>
        <w:jc w:val="both"/>
        <w:rPr>
          <w:rFonts w:ascii="Cambria" w:hAnsi="Cambria"/>
        </w:rPr>
      </w:pPr>
      <w:r w:rsidRPr="00591BBA">
        <w:rPr>
          <w:rFonts w:ascii="Cambria" w:hAnsi="Cambria"/>
        </w:rPr>
        <w:t>Bahasa Dodo Suharto dan Herman Wibowo. Manajemen Keuangan. Edisi Benardi, J.K. 2010. Pengaruh Cash Flow Terhadap Leverage dan Investasi serta Brigham, E.F., &amp; J.F., Houston. 2001. Fundentals of Financial Management. Alih</w:t>
      </w:r>
    </w:p>
    <w:p w14:paraId="05C3A359" w14:textId="77777777" w:rsidR="00591BBA" w:rsidRPr="00591BBA" w:rsidRDefault="00591BBA" w:rsidP="00591BBA">
      <w:pPr>
        <w:pStyle w:val="BodyText"/>
        <w:spacing w:before="0" w:beforeAutospacing="0" w:after="0" w:afterAutospacing="0" w:line="276" w:lineRule="auto"/>
        <w:ind w:left="1440" w:hanging="873"/>
        <w:jc w:val="both"/>
        <w:rPr>
          <w:rFonts w:ascii="Cambria" w:hAnsi="Cambria"/>
        </w:rPr>
      </w:pPr>
      <w:r w:rsidRPr="00591BBA">
        <w:rPr>
          <w:rFonts w:ascii="Cambria" w:hAnsi="Cambria"/>
        </w:rPr>
        <w:t>Brigham, Eugene F, Joel F.Houston, 2009. “Fundamental of Financial Management, Dasar- Dasar Manajemen Keuangan”, Edisi Sepuluh, Salemba Empat, Jakarta.</w:t>
      </w:r>
    </w:p>
    <w:p w14:paraId="3D5E4022" w14:textId="77777777" w:rsidR="00591BBA" w:rsidRPr="00591BBA" w:rsidRDefault="00591BBA" w:rsidP="00591BBA">
      <w:pPr>
        <w:pStyle w:val="BodyText"/>
        <w:spacing w:before="0" w:beforeAutospacing="0" w:after="0" w:afterAutospacing="0" w:line="276" w:lineRule="auto"/>
        <w:ind w:left="1440" w:hanging="873"/>
        <w:jc w:val="both"/>
        <w:rPr>
          <w:rFonts w:ascii="Cambria" w:hAnsi="Cambria"/>
        </w:rPr>
      </w:pPr>
      <w:r w:rsidRPr="00591BBA">
        <w:rPr>
          <w:rFonts w:ascii="Cambria" w:hAnsi="Cambria"/>
        </w:rPr>
        <w:t xml:space="preserve">Brigham, Eugene F. dan Joel F. Houston. 2006. Manajemen Keuangan. Buku 1. Edisi X. Jakarta : Salemba Empat </w:t>
      </w:r>
      <w:hyperlink r:id="rId27" w:history="1">
        <w:r w:rsidRPr="00591BBA">
          <w:rPr>
            <w:rStyle w:val="Hyperlink"/>
            <w:rFonts w:ascii="Cambria" w:hAnsi="Cambria"/>
            <w:color w:val="0462C1"/>
            <w:u w:color="0462C1"/>
          </w:rPr>
          <w:t>https://doi.org/10.33395/owner.v4n2.%20239</w:t>
        </w:r>
      </w:hyperlink>
    </w:p>
    <w:p w14:paraId="63CF3808" w14:textId="77777777" w:rsidR="00591BBA" w:rsidRPr="00591BBA" w:rsidRDefault="00591BBA" w:rsidP="00591BBA">
      <w:pPr>
        <w:pStyle w:val="BodyText"/>
        <w:spacing w:before="0" w:beforeAutospacing="0" w:after="0" w:afterAutospacing="0" w:line="276" w:lineRule="auto"/>
        <w:ind w:left="1440" w:hanging="873"/>
        <w:jc w:val="both"/>
        <w:rPr>
          <w:rFonts w:ascii="Cambria" w:hAnsi="Cambria"/>
        </w:rPr>
      </w:pPr>
      <w:r w:rsidRPr="00591BBA">
        <w:rPr>
          <w:rFonts w:ascii="Cambria" w:hAnsi="Cambria"/>
        </w:rPr>
        <w:t xml:space="preserve">Bursa Efek Indonesia. (2020). Sejarah BEI. Diakses dari </w:t>
      </w:r>
      <w:hyperlink r:id="rId28" w:history="1">
        <w:r w:rsidRPr="00591BBA">
          <w:rPr>
            <w:rStyle w:val="Hyperlink"/>
            <w:rFonts w:ascii="Cambria" w:hAnsi="Cambria"/>
            <w:color w:val="0462C1"/>
            <w:u w:color="0462C1"/>
          </w:rPr>
          <w:t>https://www.idx.co.id/</w:t>
        </w:r>
      </w:hyperlink>
      <w:r w:rsidRPr="00591BBA">
        <w:rPr>
          <w:rFonts w:ascii="Cambria" w:hAnsi="Cambria"/>
          <w:color w:val="0462C1"/>
        </w:rPr>
        <w:t xml:space="preserve"> </w:t>
      </w:r>
      <w:r w:rsidRPr="00591BBA">
        <w:rPr>
          <w:rFonts w:ascii="Cambria" w:hAnsi="Cambria"/>
        </w:rPr>
        <w:t>Chowdhuri, Anup &amp; S.P., Chowdhuri. 2010. Impact of Capital Structur on Firm's</w:t>
      </w:r>
    </w:p>
    <w:p w14:paraId="1FA58963" w14:textId="77777777" w:rsidR="00591BBA" w:rsidRPr="00591BBA" w:rsidRDefault="00591BBA" w:rsidP="00591BBA">
      <w:pPr>
        <w:pStyle w:val="BodyText"/>
        <w:spacing w:before="0" w:beforeAutospacing="0" w:after="0" w:afterAutospacing="0" w:line="276" w:lineRule="auto"/>
        <w:ind w:left="1440" w:hanging="873"/>
        <w:jc w:val="both"/>
        <w:rPr>
          <w:rFonts w:ascii="Cambria" w:hAnsi="Cambria"/>
        </w:rPr>
      </w:pPr>
      <w:r w:rsidRPr="00591BBA">
        <w:rPr>
          <w:rFonts w:ascii="Cambria" w:hAnsi="Cambria"/>
        </w:rPr>
        <w:t>Dampaknya terhadap Nilai Perusahaan. Jurnal Ekonomi dan Kewirausahaan. Vol. 10. No. 2:93-108.</w:t>
      </w:r>
    </w:p>
    <w:p w14:paraId="2C9465D2" w14:textId="77777777" w:rsidR="00591BBA" w:rsidRPr="00591BBA" w:rsidRDefault="00591BBA" w:rsidP="00591BBA">
      <w:pPr>
        <w:pStyle w:val="BodyText"/>
        <w:spacing w:before="0" w:beforeAutospacing="0" w:after="0" w:afterAutospacing="0" w:line="276" w:lineRule="auto"/>
        <w:ind w:left="1440" w:hanging="873"/>
        <w:jc w:val="both"/>
        <w:rPr>
          <w:rFonts w:ascii="Cambria" w:hAnsi="Cambria"/>
        </w:rPr>
      </w:pPr>
      <w:r w:rsidRPr="00591BBA">
        <w:rPr>
          <w:rFonts w:ascii="Cambria" w:hAnsi="Cambria"/>
        </w:rPr>
        <w:t>Diana,</w:t>
      </w:r>
      <w:r w:rsidRPr="00591BBA">
        <w:rPr>
          <w:rFonts w:ascii="Cambria" w:hAnsi="Cambria"/>
        </w:rPr>
        <w:tab/>
      </w:r>
      <w:r w:rsidRPr="00591BBA">
        <w:rPr>
          <w:rFonts w:ascii="Cambria" w:hAnsi="Cambria"/>
        </w:rPr>
        <w:tab/>
        <w:t>Latie flasari</w:t>
      </w:r>
      <w:r w:rsidRPr="00591BBA">
        <w:rPr>
          <w:rFonts w:ascii="Cambria" w:hAnsi="Cambria"/>
        </w:rPr>
        <w:tab/>
        <w:t>Hani.2011. “Analisis Faktor-Faktor</w:t>
      </w:r>
      <w:r w:rsidRPr="00591BBA">
        <w:rPr>
          <w:rFonts w:ascii="Cambria" w:hAnsi="Cambria"/>
        </w:rPr>
        <w:tab/>
        <w:t>yang</w:t>
      </w:r>
      <w:r w:rsidRPr="00591BBA">
        <w:rPr>
          <w:rFonts w:ascii="Cambria" w:hAnsi="Cambria"/>
        </w:rPr>
        <w:tab/>
        <w:t>mempengaruhi kebijakan deviden”.Skripsi.</w:t>
      </w:r>
      <w:r w:rsidRPr="00591BBA">
        <w:rPr>
          <w:rFonts w:ascii="Cambria" w:hAnsi="Cambria"/>
        </w:rPr>
        <w:tab/>
        <w:t>Sema-rang : Fakultas Ekonomi UNDIP</w:t>
      </w:r>
    </w:p>
    <w:p w14:paraId="5412EE5F" w14:textId="77777777" w:rsidR="00591BBA" w:rsidRPr="00591BBA" w:rsidRDefault="00591BBA" w:rsidP="00591BBA">
      <w:pPr>
        <w:pStyle w:val="BodyText"/>
        <w:spacing w:before="0" w:beforeAutospacing="0" w:after="0" w:afterAutospacing="0" w:line="276" w:lineRule="auto"/>
        <w:ind w:left="1440" w:hanging="873"/>
        <w:jc w:val="both"/>
        <w:rPr>
          <w:rFonts w:ascii="Cambria" w:hAnsi="Cambria"/>
        </w:rPr>
      </w:pPr>
      <w:r w:rsidRPr="00591BBA">
        <w:rPr>
          <w:rFonts w:ascii="Cambria" w:hAnsi="Cambria"/>
        </w:rPr>
        <w:t>Doe, M. (2018). Residual Income Model in Corporate Valuation. Dalam S. Brown</w:t>
      </w:r>
    </w:p>
    <w:p w14:paraId="754F9E7B" w14:textId="77777777" w:rsidR="00591BBA" w:rsidRPr="00591BBA" w:rsidRDefault="00591BBA" w:rsidP="00591BBA">
      <w:pPr>
        <w:pStyle w:val="BodyText"/>
        <w:spacing w:before="0" w:beforeAutospacing="0" w:after="0" w:afterAutospacing="0" w:line="276" w:lineRule="auto"/>
        <w:ind w:left="1440" w:hanging="873"/>
        <w:jc w:val="both"/>
        <w:rPr>
          <w:rFonts w:ascii="Cambria" w:hAnsi="Cambria"/>
        </w:rPr>
      </w:pPr>
      <w:r w:rsidRPr="00591BBA">
        <w:rPr>
          <w:rFonts w:ascii="Cambria" w:hAnsi="Cambria"/>
        </w:rPr>
        <w:t>E Sijabat, S Sara, PH Fi'lma, FL Missi, D Sakuntala - Jurnal Ekonomi Bisnis Manajemen Prima, II (2), 2021.Pengaruh rasio keuangan terhadap dividend payout ratio pada perusahaan sektor trade, service and investment yang terdaftar di BEI</w:t>
      </w:r>
    </w:p>
    <w:p w14:paraId="0A7FCB13" w14:textId="77777777" w:rsidR="00591BBA" w:rsidRPr="00591BBA" w:rsidRDefault="00591BBA" w:rsidP="00591BBA">
      <w:pPr>
        <w:pStyle w:val="BodyText"/>
        <w:spacing w:before="0" w:beforeAutospacing="0" w:after="0" w:afterAutospacing="0" w:line="276" w:lineRule="auto"/>
        <w:ind w:left="1440" w:hanging="873"/>
        <w:jc w:val="both"/>
        <w:rPr>
          <w:rFonts w:ascii="Cambria" w:hAnsi="Cambria"/>
        </w:rPr>
      </w:pPr>
      <w:r w:rsidRPr="00591BBA">
        <w:rPr>
          <w:rFonts w:ascii="Cambria" w:hAnsi="Cambria"/>
        </w:rPr>
        <w:t>Effect of Dividend Policy (Dpr), Liquidity (Cr) and Profitability on Share Price At Trade, Service and Investment Sectors At Indonesia Stock Exchange in Period of 2014-2018</w:t>
      </w:r>
    </w:p>
    <w:p w14:paraId="639E4B14" w14:textId="77777777" w:rsidR="00591BBA" w:rsidRPr="00591BBA" w:rsidRDefault="00591BBA" w:rsidP="00591BBA">
      <w:pPr>
        <w:pStyle w:val="BodyText"/>
        <w:spacing w:before="0" w:beforeAutospacing="0" w:after="0" w:afterAutospacing="0" w:line="276" w:lineRule="auto"/>
        <w:ind w:left="1440" w:hanging="873"/>
        <w:jc w:val="both"/>
        <w:rPr>
          <w:rFonts w:ascii="Cambria" w:hAnsi="Cambria"/>
        </w:rPr>
      </w:pPr>
      <w:r w:rsidRPr="00591BBA">
        <w:rPr>
          <w:rFonts w:ascii="Cambria" w:hAnsi="Cambria"/>
        </w:rPr>
        <w:t>Fama, E., &amp; French, K. (1992). The Cross-Section of Excpected Stock Returs. Fama</w:t>
      </w:r>
    </w:p>
    <w:p w14:paraId="4AB31A6D" w14:textId="77777777" w:rsidR="00591BBA" w:rsidRPr="00591BBA" w:rsidRDefault="00591BBA" w:rsidP="00591BBA">
      <w:pPr>
        <w:pStyle w:val="BodyText"/>
        <w:spacing w:before="0" w:beforeAutospacing="0" w:after="0" w:afterAutospacing="0" w:line="276" w:lineRule="auto"/>
        <w:ind w:left="1440" w:hanging="873"/>
        <w:jc w:val="both"/>
        <w:rPr>
          <w:rFonts w:ascii="Cambria" w:hAnsi="Cambria"/>
        </w:rPr>
      </w:pPr>
      <w:r w:rsidRPr="00591BBA">
        <w:rPr>
          <w:rFonts w:ascii="Cambria" w:hAnsi="Cambria"/>
        </w:rPr>
        <w:t>Ghozali, I. (2016) Aplikasi Analisis Multivariete Dengan Program IBM SPSS 23. Edisi 8.</w:t>
      </w:r>
    </w:p>
    <w:p w14:paraId="5409B178" w14:textId="77777777" w:rsidR="00591BBA" w:rsidRPr="00591BBA" w:rsidRDefault="00591BBA" w:rsidP="00591BBA">
      <w:pPr>
        <w:pStyle w:val="BodyText"/>
        <w:spacing w:before="0" w:beforeAutospacing="0" w:after="0" w:afterAutospacing="0" w:line="276" w:lineRule="auto"/>
        <w:ind w:left="1440" w:hanging="873"/>
        <w:jc w:val="both"/>
        <w:rPr>
          <w:rFonts w:ascii="Cambria" w:hAnsi="Cambria"/>
        </w:rPr>
      </w:pPr>
      <w:r w:rsidRPr="00591BBA">
        <w:rPr>
          <w:rFonts w:ascii="Cambria" w:hAnsi="Cambria"/>
        </w:rPr>
        <w:t>Semarang: Badan Penerbit Universitas Diponegoro.</w:t>
      </w:r>
    </w:p>
    <w:p w14:paraId="12EA3BB0" w14:textId="77777777" w:rsidR="00591BBA" w:rsidRPr="00591BBA" w:rsidRDefault="00591BBA" w:rsidP="00591BBA">
      <w:pPr>
        <w:pStyle w:val="BodyText"/>
        <w:spacing w:before="0" w:beforeAutospacing="0" w:after="0" w:afterAutospacing="0" w:line="276" w:lineRule="auto"/>
        <w:ind w:left="1440" w:hanging="873"/>
        <w:jc w:val="both"/>
        <w:rPr>
          <w:rFonts w:ascii="Cambria" w:hAnsi="Cambria"/>
        </w:rPr>
      </w:pPr>
      <w:r w:rsidRPr="00591BBA">
        <w:rPr>
          <w:rFonts w:ascii="Cambria" w:hAnsi="Cambria"/>
        </w:rPr>
        <w:t>Ghozali, I. (2018). Aplikasi Analisis Multivariate dengan Program IBM SPSS 25. Semarang: Badan Penerbit Universitas Diponegoro.</w:t>
      </w:r>
    </w:p>
    <w:p w14:paraId="3F00826A" w14:textId="77777777" w:rsidR="00591BBA" w:rsidRPr="00591BBA" w:rsidRDefault="00591BBA" w:rsidP="00591BBA">
      <w:pPr>
        <w:pStyle w:val="BodyText"/>
        <w:spacing w:before="0" w:beforeAutospacing="0" w:after="0" w:afterAutospacing="0" w:line="276" w:lineRule="auto"/>
        <w:ind w:left="1440" w:hanging="873"/>
        <w:jc w:val="both"/>
        <w:rPr>
          <w:rFonts w:ascii="Cambria" w:hAnsi="Cambria"/>
        </w:rPr>
      </w:pPr>
      <w:r w:rsidRPr="00591BBA">
        <w:rPr>
          <w:rFonts w:ascii="Cambria" w:hAnsi="Cambria"/>
        </w:rPr>
        <w:t>Gordon, M. J. (1962). The Savings, Investment, and Valuation of a Corporation.</w:t>
      </w:r>
    </w:p>
    <w:p w14:paraId="1197EE2F" w14:textId="77777777" w:rsidR="00591BBA" w:rsidRPr="00591BBA" w:rsidRDefault="00591BBA" w:rsidP="00591BBA">
      <w:pPr>
        <w:pStyle w:val="BodyText"/>
        <w:spacing w:before="0" w:beforeAutospacing="0" w:after="0" w:afterAutospacing="0" w:line="276" w:lineRule="auto"/>
        <w:ind w:left="1440" w:hanging="873"/>
        <w:jc w:val="both"/>
        <w:rPr>
          <w:rFonts w:ascii="Cambria" w:hAnsi="Cambria"/>
        </w:rPr>
      </w:pPr>
      <w:r w:rsidRPr="00591BBA">
        <w:rPr>
          <w:rFonts w:ascii="Cambria" w:hAnsi="Cambria"/>
        </w:rPr>
        <w:t xml:space="preserve">Gumanti, Tatang Ary. 2013. Kebijakan Dividen Teori, Empiris dan Implikasi. Edisi Pertama Yogyakarta:UPP STIM YKPN </w:t>
      </w:r>
      <w:hyperlink r:id="rId29" w:history="1">
        <w:r w:rsidRPr="00591BBA">
          <w:rPr>
            <w:rStyle w:val="Hyperlink"/>
            <w:rFonts w:ascii="Cambria" w:hAnsi="Cambria"/>
            <w:color w:val="0462C1"/>
            <w:u w:color="0462C1"/>
          </w:rPr>
          <w:t>https://doi.org/10.33395/owner.v4n2.%20239</w:t>
        </w:r>
      </w:hyperlink>
    </w:p>
    <w:p w14:paraId="0C99341B" w14:textId="77777777" w:rsidR="00591BBA" w:rsidRPr="00591BBA" w:rsidRDefault="00591BBA" w:rsidP="00591BBA">
      <w:pPr>
        <w:pStyle w:val="BodyText"/>
        <w:spacing w:before="0" w:beforeAutospacing="0" w:after="0" w:afterAutospacing="0" w:line="276" w:lineRule="auto"/>
        <w:ind w:left="1440" w:hanging="873"/>
        <w:jc w:val="both"/>
        <w:rPr>
          <w:rFonts w:ascii="Cambria" w:hAnsi="Cambria"/>
        </w:rPr>
      </w:pPr>
      <w:r w:rsidRPr="00591BBA">
        <w:rPr>
          <w:rFonts w:ascii="Cambria" w:hAnsi="Cambria"/>
        </w:rPr>
        <w:t>Helman (2021). Pengaruh cash ratio, return on equity dan debt to equity ratio terhadap dividend payout ratio pada perusahaan industri barang konsumsi yang terdaftar di bursa efek Indonesia. Jurnal Manajemen &amp; Akuntansi Stindo Medan Sekolah Tinggi Ilmu Ekonomi Indonesia</w:t>
      </w:r>
    </w:p>
    <w:p w14:paraId="1EA68937" w14:textId="5AF232B3" w:rsidR="00591BBA" w:rsidRPr="00591BBA" w:rsidRDefault="00591BBA" w:rsidP="00591BBA">
      <w:pPr>
        <w:pStyle w:val="BodyText"/>
        <w:spacing w:before="0" w:beforeAutospacing="0" w:after="0" w:afterAutospacing="0" w:line="276" w:lineRule="auto"/>
        <w:ind w:left="1440" w:hanging="873"/>
        <w:jc w:val="both"/>
        <w:rPr>
          <w:rFonts w:ascii="Cambria" w:hAnsi="Cambria"/>
        </w:rPr>
      </w:pPr>
      <w:r w:rsidRPr="00591BBA">
        <w:rPr>
          <w:rFonts w:ascii="Cambria" w:hAnsi="Cambria"/>
        </w:rPr>
        <w:t xml:space="preserve">Hidayat Anwar. Pengertian dan Penjelasan Uji Autokorelasi Durbin Watson.2020 </w:t>
      </w:r>
    </w:p>
    <w:p w14:paraId="75EAC477" w14:textId="77777777" w:rsidR="00591BBA" w:rsidRPr="00591BBA" w:rsidRDefault="00591BBA" w:rsidP="00591BBA">
      <w:pPr>
        <w:pStyle w:val="BodyText"/>
        <w:spacing w:before="0" w:beforeAutospacing="0" w:after="0" w:afterAutospacing="0" w:line="276" w:lineRule="auto"/>
        <w:ind w:left="1440" w:hanging="873"/>
        <w:jc w:val="both"/>
        <w:rPr>
          <w:rFonts w:ascii="Cambria" w:hAnsi="Cambria"/>
        </w:rPr>
      </w:pPr>
      <w:r w:rsidRPr="00591BBA">
        <w:rPr>
          <w:rFonts w:ascii="Cambria" w:hAnsi="Cambria"/>
        </w:rPr>
        <w:t>Johnson, A. (2015). Market Efficiency and the Efficient Market Hypothesis. Financial Review, 25(3), 45-67.</w:t>
      </w:r>
    </w:p>
    <w:p w14:paraId="4A7FFFFE" w14:textId="77777777" w:rsidR="00591BBA" w:rsidRPr="00591BBA" w:rsidRDefault="00591BBA" w:rsidP="00591BBA">
      <w:pPr>
        <w:pStyle w:val="BodyText"/>
        <w:spacing w:before="0" w:beforeAutospacing="0" w:after="0" w:afterAutospacing="0" w:line="276" w:lineRule="auto"/>
        <w:ind w:left="1440" w:hanging="873"/>
        <w:jc w:val="both"/>
        <w:rPr>
          <w:rFonts w:ascii="Cambria" w:hAnsi="Cambria"/>
        </w:rPr>
      </w:pPr>
      <w:r w:rsidRPr="00591BBA">
        <w:rPr>
          <w:rFonts w:ascii="Cambria" w:hAnsi="Cambria"/>
        </w:rPr>
        <w:t xml:space="preserve">Johnson, C. (2018). The Role of Debt Policy in Enhancing Firm Value. Financial </w:t>
      </w:r>
      <w:r w:rsidRPr="00591BBA">
        <w:rPr>
          <w:rFonts w:ascii="Cambria" w:hAnsi="Cambria"/>
        </w:rPr>
        <w:lastRenderedPageBreak/>
        <w:t>Insights, https://</w:t>
      </w:r>
      <w:hyperlink r:id="rId30" w:history="1">
        <w:r w:rsidRPr="00591BBA">
          <w:rPr>
            <w:rStyle w:val="Hyperlink"/>
            <w:rFonts w:ascii="Cambria" w:hAnsi="Cambria"/>
          </w:rPr>
          <w:t>www.financialinsights.com/article123.</w:t>
        </w:r>
      </w:hyperlink>
    </w:p>
    <w:p w14:paraId="2B8C895E" w14:textId="77777777" w:rsidR="00591BBA" w:rsidRPr="00591BBA" w:rsidRDefault="00591BBA" w:rsidP="00591BBA">
      <w:pPr>
        <w:pStyle w:val="BodyText"/>
        <w:spacing w:before="0" w:beforeAutospacing="0" w:after="0" w:afterAutospacing="0" w:line="276" w:lineRule="auto"/>
        <w:ind w:left="1440" w:hanging="873"/>
        <w:jc w:val="both"/>
        <w:rPr>
          <w:rFonts w:ascii="Cambria" w:hAnsi="Cambria"/>
        </w:rPr>
      </w:pPr>
      <w:r w:rsidRPr="00591BBA">
        <w:rPr>
          <w:rFonts w:ascii="Cambria" w:hAnsi="Cambria"/>
        </w:rPr>
        <w:t>K Saputri – 2020.Pengaruh Return on Equity dan Current Ratio Terhadap Price to Book Value Dengan Debt to Equity Ratio Sebagai Variabel Intervening Pada Perusahaan Transportasi di Bursa Efek Indonesia 2015-2018</w:t>
      </w:r>
    </w:p>
    <w:p w14:paraId="1B40131D" w14:textId="0BCDBFA2" w:rsidR="00591BBA" w:rsidRPr="00591BBA" w:rsidRDefault="00591BBA" w:rsidP="00591BBA">
      <w:pPr>
        <w:pStyle w:val="BodyText"/>
        <w:spacing w:before="0" w:beforeAutospacing="0" w:after="0" w:afterAutospacing="0" w:line="276" w:lineRule="auto"/>
        <w:ind w:left="1440" w:hanging="873"/>
        <w:jc w:val="both"/>
        <w:rPr>
          <w:rFonts w:ascii="Cambria" w:hAnsi="Cambria"/>
        </w:rPr>
      </w:pPr>
      <w:r w:rsidRPr="00591BBA">
        <w:rPr>
          <w:rFonts w:ascii="Cambria" w:hAnsi="Cambria"/>
        </w:rPr>
        <w:t xml:space="preserve">Meidiawati, Mildawati. 2016. Pengaruh Size, Growth, Profitabilitas, Struktur Modal, Kebijakan Dividen Terhadap Nilai Perusahaan. Surabaya : Jurnal Ilmu dan Riset Akuntansi Volume 5, Nomor </w:t>
      </w:r>
      <w:r>
        <w:rPr>
          <w:rFonts w:ascii="Cambria" w:hAnsi="Cambria"/>
        </w:rPr>
        <w:t>2</w:t>
      </w:r>
    </w:p>
    <w:p w14:paraId="12BCC264" w14:textId="77777777" w:rsidR="00591BBA" w:rsidRPr="00591BBA" w:rsidRDefault="00591BBA" w:rsidP="00591BBA">
      <w:pPr>
        <w:pStyle w:val="BodyText"/>
        <w:spacing w:before="0" w:beforeAutospacing="0" w:after="0" w:afterAutospacing="0" w:line="276" w:lineRule="auto"/>
        <w:ind w:left="1440" w:hanging="873"/>
        <w:jc w:val="both"/>
        <w:rPr>
          <w:rFonts w:ascii="Cambria" w:hAnsi="Cambria"/>
        </w:rPr>
      </w:pPr>
      <w:r w:rsidRPr="00591BBA">
        <w:rPr>
          <w:rFonts w:ascii="Cambria" w:hAnsi="Cambria"/>
        </w:rPr>
        <w:t>P.Sondakh., I.Saerang., R.Samadi. (2019) PENGARUH STRUKTUR MODAL (ROA, ROE DAN DER) TERHADAP NILAI PERUSAHAAN (PBV) PADA PERUSAHAAN SEKTOR PROPERTI YANG TERDAFTAR DI BEI (Periode 2013-2016) . Jurnal EMBA 7(3) : 3079 – 3088.</w:t>
      </w:r>
    </w:p>
    <w:p w14:paraId="6E7A303F" w14:textId="77777777" w:rsidR="00591BBA" w:rsidRPr="00591BBA" w:rsidRDefault="00591BBA" w:rsidP="00591BBA">
      <w:pPr>
        <w:pStyle w:val="BodyText"/>
        <w:spacing w:before="0" w:beforeAutospacing="0" w:after="0" w:afterAutospacing="0" w:line="276" w:lineRule="auto"/>
        <w:ind w:left="1440" w:hanging="873"/>
        <w:jc w:val="both"/>
        <w:rPr>
          <w:rFonts w:ascii="Cambria" w:hAnsi="Cambria"/>
        </w:rPr>
      </w:pPr>
      <w:r w:rsidRPr="00591BBA">
        <w:rPr>
          <w:rFonts w:ascii="Cambria" w:hAnsi="Cambria"/>
        </w:rPr>
        <w:t>Perusahaan. Jurnal Analisis Bisnis Ekonomi, 16(1), 19–25. Https://Doi.Org/10.31603/Bisnisekonomi.V16i1.2127</w:t>
      </w:r>
    </w:p>
    <w:p w14:paraId="6099CA62" w14:textId="77777777" w:rsidR="00591BBA" w:rsidRPr="00591BBA" w:rsidRDefault="00591BBA" w:rsidP="00591BBA">
      <w:pPr>
        <w:pStyle w:val="BodyText"/>
        <w:spacing w:before="0" w:beforeAutospacing="0" w:after="0" w:afterAutospacing="0" w:line="276" w:lineRule="auto"/>
        <w:ind w:left="1440" w:hanging="873"/>
        <w:jc w:val="both"/>
        <w:rPr>
          <w:rFonts w:ascii="Cambria" w:hAnsi="Cambria"/>
        </w:rPr>
      </w:pPr>
      <w:r w:rsidRPr="00591BBA">
        <w:rPr>
          <w:rFonts w:ascii="Cambria" w:hAnsi="Cambria"/>
        </w:rPr>
        <w:t>Pribadi, M.T. (2018) Pengaruh Struktur Aset, Ukuran Perusahaan, Likuiditas Dan Profitabilitas Terhadap Nilai Perusahaan Dagang Besar Yang Terdaftar di Perusahaan Bursa Efek Indonesia. 1(1): 372-385.</w:t>
      </w:r>
    </w:p>
    <w:p w14:paraId="06F60838" w14:textId="77777777" w:rsidR="00591BBA" w:rsidRPr="00591BBA" w:rsidRDefault="00591BBA" w:rsidP="00591BBA">
      <w:pPr>
        <w:pStyle w:val="BodyText"/>
        <w:spacing w:before="0" w:beforeAutospacing="0" w:after="0" w:afterAutospacing="0" w:line="276" w:lineRule="auto"/>
        <w:ind w:left="1440" w:hanging="873"/>
        <w:jc w:val="both"/>
        <w:rPr>
          <w:rFonts w:ascii="Cambria" w:hAnsi="Cambria"/>
        </w:rPr>
      </w:pPr>
      <w:r w:rsidRPr="00591BBA">
        <w:rPr>
          <w:rFonts w:ascii="Cambria" w:hAnsi="Cambria"/>
        </w:rPr>
        <w:t>Purwani dan Oktavia. 2018. Profitabilitas, Leverage, Kebijakan Dividen, Kepemilikan Institusional Dan Growth Terhadap Nilai Perusahaan.</w:t>
      </w:r>
    </w:p>
    <w:p w14:paraId="27A5EE10" w14:textId="77777777" w:rsidR="00591BBA" w:rsidRPr="00591BBA" w:rsidRDefault="00591BBA" w:rsidP="00591BBA">
      <w:pPr>
        <w:pStyle w:val="BodyText"/>
        <w:spacing w:before="0" w:beforeAutospacing="0" w:after="0" w:afterAutospacing="0" w:line="276" w:lineRule="auto"/>
        <w:ind w:left="1440" w:hanging="873"/>
        <w:jc w:val="both"/>
        <w:rPr>
          <w:rFonts w:ascii="Cambria" w:hAnsi="Cambria"/>
        </w:rPr>
      </w:pPr>
      <w:r w:rsidRPr="00591BBA">
        <w:rPr>
          <w:rFonts w:ascii="Cambria" w:hAnsi="Cambria"/>
        </w:rPr>
        <w:t>Rafida Khairani Muhammad Fikri Haikal Siti Ramadhani Nana Gustia Febry Rizky Al Fadilla.Pengaruh Debt to Equity Ratio,.Earning Per Share,.dan.Net Profit Margin Terhadap Harga Saham pada Industri Manufaktur Konsumsi Makanan dan Minuman, Journal of Economic, Bussines and Accounting (COSTING) (2020).</w:t>
      </w:r>
    </w:p>
    <w:p w14:paraId="23AAAB9D" w14:textId="77777777" w:rsidR="00591BBA" w:rsidRPr="00591BBA" w:rsidRDefault="00591BBA" w:rsidP="00591BBA">
      <w:pPr>
        <w:pStyle w:val="BodyText"/>
        <w:spacing w:before="0" w:beforeAutospacing="0" w:after="0" w:afterAutospacing="0" w:line="276" w:lineRule="auto"/>
        <w:ind w:left="1440" w:hanging="873"/>
        <w:jc w:val="both"/>
        <w:rPr>
          <w:rFonts w:ascii="Cambria" w:hAnsi="Cambria"/>
        </w:rPr>
      </w:pPr>
      <w:r w:rsidRPr="00591BBA">
        <w:rPr>
          <w:rFonts w:ascii="Cambria" w:hAnsi="Cambria"/>
        </w:rPr>
        <w:t>Raharjo Sahid.Tutorial Uji Heteroskedastisitas dengan Glejser SPSS.2021</w:t>
      </w:r>
    </w:p>
    <w:p w14:paraId="65866AAB" w14:textId="77777777" w:rsidR="00591BBA" w:rsidRPr="00591BBA" w:rsidRDefault="00591BBA" w:rsidP="00591BBA">
      <w:pPr>
        <w:pStyle w:val="BodyText"/>
        <w:spacing w:before="0" w:beforeAutospacing="0" w:after="0" w:afterAutospacing="0" w:line="276" w:lineRule="auto"/>
        <w:ind w:left="1440" w:hanging="873"/>
        <w:jc w:val="both"/>
        <w:rPr>
          <w:rFonts w:ascii="Cambria" w:hAnsi="Cambria"/>
        </w:rPr>
      </w:pPr>
      <w:r w:rsidRPr="00591BBA">
        <w:rPr>
          <w:rFonts w:ascii="Cambria" w:hAnsi="Cambria"/>
        </w:rPr>
        <w:t>Rahayu, M., &amp; Sari, B. (2018). Faktor-Faktor Yang Mempengaruhi Nilai</w:t>
      </w:r>
    </w:p>
    <w:p w14:paraId="70B70AA5" w14:textId="77777777" w:rsidR="00591BBA" w:rsidRPr="00591BBA" w:rsidRDefault="00591BBA" w:rsidP="00591BBA">
      <w:pPr>
        <w:pStyle w:val="BodyText"/>
        <w:spacing w:before="0" w:beforeAutospacing="0" w:after="0" w:afterAutospacing="0" w:line="276" w:lineRule="auto"/>
        <w:ind w:left="1440" w:hanging="873"/>
        <w:jc w:val="both"/>
        <w:rPr>
          <w:rFonts w:ascii="Cambria" w:hAnsi="Cambria"/>
        </w:rPr>
      </w:pPr>
      <w:r w:rsidRPr="00591BBA">
        <w:rPr>
          <w:rFonts w:ascii="Cambria" w:hAnsi="Cambria"/>
        </w:rPr>
        <w:t>Review of Economics and Statistics, 44, 37-</w:t>
      </w:r>
      <w:hyperlink r:id="rId31" w:history="1">
        <w:r w:rsidRPr="00591BBA">
          <w:rPr>
            <w:rStyle w:val="Hyperlink"/>
            <w:rFonts w:ascii="Cambria" w:hAnsi="Cambria"/>
          </w:rPr>
          <w:t>51.ht</w:t>
        </w:r>
      </w:hyperlink>
      <w:r w:rsidRPr="00591BBA">
        <w:rPr>
          <w:rFonts w:ascii="Cambria" w:hAnsi="Cambria"/>
        </w:rPr>
        <w:t>tp:</w:t>
      </w:r>
      <w:hyperlink r:id="rId32" w:history="1">
        <w:r w:rsidRPr="00591BBA">
          <w:rPr>
            <w:rStyle w:val="Hyperlink"/>
            <w:rFonts w:ascii="Cambria" w:hAnsi="Cambria"/>
          </w:rPr>
          <w:t>//dx.doi.org/10.2307/1926621</w:t>
        </w:r>
      </w:hyperlink>
      <w:r w:rsidRPr="00591BBA">
        <w:rPr>
          <w:rFonts w:ascii="Cambria" w:hAnsi="Cambria"/>
        </w:rPr>
        <w:t xml:space="preserve"> Septariani, d. (2017). Pengaruh Kebijakan Dividen Dan Kebijakan Hutang Terhadap Nilai</w:t>
      </w:r>
    </w:p>
    <w:p w14:paraId="25F81198" w14:textId="3DCCCD5D" w:rsidR="00591BBA" w:rsidRPr="00591BBA" w:rsidRDefault="00591BBA" w:rsidP="00856FAB">
      <w:pPr>
        <w:pStyle w:val="BodyText"/>
        <w:spacing w:before="0" w:beforeAutospacing="0" w:after="0" w:afterAutospacing="0" w:line="276" w:lineRule="auto"/>
        <w:ind w:left="1440" w:hanging="873"/>
        <w:jc w:val="both"/>
        <w:rPr>
          <w:rFonts w:ascii="Cambria" w:hAnsi="Cambria"/>
        </w:rPr>
      </w:pPr>
      <w:r w:rsidRPr="00591BBA">
        <w:rPr>
          <w:rFonts w:ascii="Cambria" w:hAnsi="Cambria"/>
        </w:rPr>
        <w:t>Perusahaan (Studi Empiris Pada Perusahaan LQ 45 di BEI periode 2012- 2015). Journal</w:t>
      </w:r>
      <w:r w:rsidRPr="00591BBA">
        <w:rPr>
          <w:rFonts w:ascii="Cambria" w:hAnsi="Cambria"/>
        </w:rPr>
        <w:tab/>
        <w:t>Of</w:t>
      </w:r>
      <w:r w:rsidRPr="00591BBA">
        <w:rPr>
          <w:rFonts w:ascii="Cambria" w:hAnsi="Cambria"/>
        </w:rPr>
        <w:tab/>
        <w:t>Applied</w:t>
      </w:r>
      <w:r w:rsidRPr="00591BBA">
        <w:rPr>
          <w:rFonts w:ascii="Cambria" w:hAnsi="Cambria"/>
        </w:rPr>
        <w:tab/>
        <w:t>Busines</w:t>
      </w:r>
      <w:r w:rsidR="00856FAB">
        <w:rPr>
          <w:rFonts w:ascii="Cambria" w:hAnsi="Cambria"/>
        </w:rPr>
        <w:t>s</w:t>
      </w:r>
      <w:r w:rsidR="00856FAB">
        <w:rPr>
          <w:rFonts w:ascii="Cambria" w:hAnsi="Cambria"/>
        </w:rPr>
        <w:tab/>
        <w:t>And</w:t>
      </w:r>
      <w:r w:rsidR="00856FAB">
        <w:rPr>
          <w:rFonts w:ascii="Cambria" w:hAnsi="Cambria"/>
        </w:rPr>
        <w:tab/>
        <w:t>Economics,</w:t>
      </w:r>
      <w:r w:rsidR="00856FAB">
        <w:rPr>
          <w:rFonts w:ascii="Cambria" w:hAnsi="Cambria"/>
        </w:rPr>
        <w:tab/>
        <w:t>3(3),</w:t>
      </w:r>
      <w:r w:rsidR="00856FAB">
        <w:rPr>
          <w:rFonts w:ascii="Cambria" w:hAnsi="Cambria"/>
        </w:rPr>
        <w:tab/>
        <w:t xml:space="preserve">183-195. </w:t>
      </w:r>
      <w:hyperlink r:id="rId33" w:history="1">
        <w:r w:rsidRPr="00591BBA">
          <w:rPr>
            <w:rStyle w:val="Hyperlink"/>
            <w:rFonts w:ascii="Cambria" w:hAnsi="Cambria"/>
            <w:color w:val="0462C1"/>
            <w:u w:color="0462C1"/>
          </w:rPr>
          <w:t>https://doi.org/10.33395/owner.v4n2.%20239</w:t>
        </w:r>
      </w:hyperlink>
    </w:p>
    <w:p w14:paraId="38C7BF26" w14:textId="77777777" w:rsidR="00591BBA" w:rsidRPr="00591BBA" w:rsidRDefault="00591BBA" w:rsidP="00591BBA">
      <w:pPr>
        <w:pStyle w:val="BodyText"/>
        <w:spacing w:before="0" w:beforeAutospacing="0" w:after="0" w:afterAutospacing="0" w:line="276" w:lineRule="auto"/>
        <w:ind w:left="1440" w:hanging="873"/>
        <w:jc w:val="both"/>
        <w:rPr>
          <w:rFonts w:ascii="Cambria" w:hAnsi="Cambria"/>
        </w:rPr>
      </w:pPr>
      <w:r w:rsidRPr="00591BBA">
        <w:rPr>
          <w:rFonts w:ascii="Cambria" w:hAnsi="Cambria"/>
        </w:rPr>
        <w:t>Smith, J. (2010). Capital Markets and Valuation. ABC Publishers.</w:t>
      </w:r>
    </w:p>
    <w:p w14:paraId="61FCE0DB" w14:textId="77777777" w:rsidR="00591BBA" w:rsidRPr="00591BBA" w:rsidRDefault="00591BBA" w:rsidP="00591BBA">
      <w:pPr>
        <w:pStyle w:val="BodyText"/>
        <w:spacing w:before="0" w:beforeAutospacing="0" w:after="0" w:afterAutospacing="0" w:line="276" w:lineRule="auto"/>
        <w:ind w:left="1440" w:hanging="873"/>
        <w:jc w:val="both"/>
        <w:rPr>
          <w:rFonts w:ascii="Cambria" w:hAnsi="Cambria"/>
        </w:rPr>
      </w:pPr>
      <w:r w:rsidRPr="00591BBA">
        <w:rPr>
          <w:rFonts w:ascii="Cambria" w:hAnsi="Cambria"/>
        </w:rPr>
        <w:t>Sondakh, R dan Morasa, J. (2019). IPTEKS MENGUKUR NILAI PERUSAHAAN DI PASAR MODAL  PADA  PERUSAHAAN  YANG  TERDAFTAR  DI  BURSA  EFEK</w:t>
      </w:r>
    </w:p>
    <w:p w14:paraId="3D4B1969" w14:textId="77777777" w:rsidR="00591BBA" w:rsidRPr="00591BBA" w:rsidRDefault="00591BBA" w:rsidP="00591BBA">
      <w:pPr>
        <w:pStyle w:val="BodyText"/>
        <w:spacing w:before="0" w:beforeAutospacing="0" w:after="0" w:afterAutospacing="0" w:line="276" w:lineRule="auto"/>
        <w:ind w:left="1440" w:hanging="873"/>
        <w:jc w:val="both"/>
        <w:rPr>
          <w:rFonts w:ascii="Cambria" w:hAnsi="Cambria"/>
        </w:rPr>
      </w:pPr>
      <w:r w:rsidRPr="00591BBA">
        <w:rPr>
          <w:rFonts w:ascii="Cambria" w:hAnsi="Cambria"/>
        </w:rPr>
        <w:t>INDONESIA. Jurnal Ipteks Akuntansi bagi Masyarakat. 3(1) : 17-22.</w:t>
      </w:r>
    </w:p>
    <w:p w14:paraId="051AA18C" w14:textId="77777777" w:rsidR="00591BBA" w:rsidRPr="00591BBA" w:rsidRDefault="00591BBA" w:rsidP="00591BBA">
      <w:pPr>
        <w:pStyle w:val="BodyText"/>
        <w:spacing w:before="0" w:beforeAutospacing="0" w:after="0" w:afterAutospacing="0" w:line="276" w:lineRule="auto"/>
        <w:ind w:left="1440" w:hanging="873"/>
        <w:jc w:val="both"/>
        <w:rPr>
          <w:rFonts w:ascii="Cambria" w:hAnsi="Cambria"/>
        </w:rPr>
      </w:pPr>
      <w:r w:rsidRPr="00591BBA">
        <w:rPr>
          <w:rFonts w:ascii="Cambria" w:hAnsi="Cambria"/>
        </w:rPr>
        <w:t>Sriningsih M, Hatidja D, Prang JD.Penanganan Multikolinearitas Dengan Menggunakan Analisis Regresi Komponen Utama Pada Kasus Impor Beras Di Provinsi Sulut. Jurnal Ilmiah Sains. 2018; 18(1): 19-20.</w:t>
      </w:r>
    </w:p>
    <w:p w14:paraId="69B42783" w14:textId="77777777" w:rsidR="00591BBA" w:rsidRPr="00591BBA" w:rsidRDefault="00591BBA" w:rsidP="00591BBA">
      <w:pPr>
        <w:pStyle w:val="BodyText"/>
        <w:spacing w:before="0" w:beforeAutospacing="0" w:after="0" w:afterAutospacing="0" w:line="276" w:lineRule="auto"/>
        <w:ind w:left="1440" w:hanging="873"/>
        <w:jc w:val="both"/>
        <w:rPr>
          <w:rFonts w:ascii="Cambria" w:hAnsi="Cambria"/>
        </w:rPr>
      </w:pPr>
      <w:r w:rsidRPr="00591BBA">
        <w:rPr>
          <w:rFonts w:ascii="Cambria" w:hAnsi="Cambria"/>
        </w:rPr>
        <w:t>Subekti, R. (2019). Pengantar Statistik Ekonomi dan Bisnis: Teori, Konsep, dan Aplikasi dengan R. Yogyakarta: Pustaka Baru Press.</w:t>
      </w:r>
    </w:p>
    <w:p w14:paraId="3F5CBA83" w14:textId="77777777" w:rsidR="00591BBA" w:rsidRPr="00591BBA" w:rsidRDefault="00591BBA" w:rsidP="00591BBA">
      <w:pPr>
        <w:pStyle w:val="BodyText"/>
        <w:spacing w:before="0" w:beforeAutospacing="0" w:after="0" w:afterAutospacing="0" w:line="276" w:lineRule="auto"/>
        <w:ind w:left="1440" w:hanging="873"/>
        <w:jc w:val="both"/>
        <w:rPr>
          <w:rFonts w:ascii="Cambria" w:hAnsi="Cambria"/>
        </w:rPr>
      </w:pPr>
      <w:r w:rsidRPr="00591BBA">
        <w:rPr>
          <w:rFonts w:ascii="Cambria" w:hAnsi="Cambria"/>
        </w:rPr>
        <w:lastRenderedPageBreak/>
        <w:t>Sudaryanto. (2015). Statistik Deskriptif: Konsep Dasar, Penerapannya dalam Penelitian, dan Penggunaan SPSS. Pustaka Pelajar.</w:t>
      </w:r>
    </w:p>
    <w:p w14:paraId="636BF8F9" w14:textId="77777777" w:rsidR="00591BBA" w:rsidRPr="00591BBA" w:rsidRDefault="00591BBA" w:rsidP="00591BBA">
      <w:pPr>
        <w:pStyle w:val="BodyText"/>
        <w:spacing w:before="0" w:beforeAutospacing="0" w:after="0" w:afterAutospacing="0" w:line="276" w:lineRule="auto"/>
        <w:ind w:left="1440" w:hanging="873"/>
        <w:jc w:val="both"/>
        <w:rPr>
          <w:rFonts w:ascii="Cambria" w:hAnsi="Cambria"/>
        </w:rPr>
      </w:pPr>
      <w:r w:rsidRPr="00591BBA">
        <w:rPr>
          <w:rFonts w:ascii="Cambria" w:hAnsi="Cambria"/>
        </w:rPr>
        <w:t>Value: [5][7] Evidenca From Bangladesh. Business and Economic Horizons.Vol. 3. No. 3:111-122</w:t>
      </w:r>
    </w:p>
    <w:p w14:paraId="403B49F0" w14:textId="77777777" w:rsidR="00591BBA" w:rsidRPr="00591BBA" w:rsidRDefault="00591BBA" w:rsidP="00591BBA">
      <w:pPr>
        <w:pStyle w:val="BodyText"/>
        <w:spacing w:before="0" w:beforeAutospacing="0" w:after="0" w:afterAutospacing="0" w:line="276" w:lineRule="auto"/>
        <w:ind w:left="1440" w:hanging="873"/>
        <w:jc w:val="both"/>
        <w:rPr>
          <w:rFonts w:ascii="Cambria" w:hAnsi="Cambria"/>
        </w:rPr>
      </w:pPr>
      <w:r w:rsidRPr="00591BBA">
        <w:rPr>
          <w:rFonts w:ascii="Cambria" w:hAnsi="Cambria"/>
        </w:rPr>
        <w:t>Wiyono,</w:t>
      </w:r>
      <w:r w:rsidRPr="00591BBA">
        <w:rPr>
          <w:rFonts w:ascii="Cambria" w:hAnsi="Cambria"/>
        </w:rPr>
        <w:tab/>
        <w:t>Gendro</w:t>
      </w:r>
      <w:r w:rsidRPr="00591BBA">
        <w:rPr>
          <w:rFonts w:ascii="Cambria" w:hAnsi="Cambria"/>
        </w:rPr>
        <w:tab/>
        <w:t>dan</w:t>
      </w:r>
      <w:r w:rsidRPr="00591BBA">
        <w:rPr>
          <w:rFonts w:ascii="Cambria" w:hAnsi="Cambria"/>
        </w:rPr>
        <w:tab/>
        <w:t>Kusuma,</w:t>
      </w:r>
      <w:r w:rsidRPr="00591BBA">
        <w:rPr>
          <w:rFonts w:ascii="Cambria" w:hAnsi="Cambria"/>
        </w:rPr>
        <w:tab/>
        <w:t>Hadri.</w:t>
      </w:r>
      <w:r w:rsidRPr="00591BBA">
        <w:rPr>
          <w:rFonts w:ascii="Cambria" w:hAnsi="Cambria"/>
        </w:rPr>
        <w:tab/>
        <w:t>2017.</w:t>
      </w:r>
      <w:r w:rsidRPr="00591BBA">
        <w:rPr>
          <w:rFonts w:ascii="Cambria" w:hAnsi="Cambria"/>
        </w:rPr>
        <w:tab/>
        <w:t>Manajemen Keuangan</w:t>
      </w:r>
      <w:r w:rsidRPr="00591BBA">
        <w:rPr>
          <w:rFonts w:ascii="Cambria" w:hAnsi="Cambria"/>
        </w:rPr>
        <w:tab/>
        <w:t>Lanjutan</w:t>
      </w:r>
      <w:r w:rsidRPr="00591BBA">
        <w:rPr>
          <w:rFonts w:ascii="Cambria" w:hAnsi="Cambria"/>
        </w:rPr>
        <w:tab/>
        <w:t>Berbasis</w:t>
      </w:r>
    </w:p>
    <w:p w14:paraId="3D906217" w14:textId="77777777" w:rsidR="00591BBA" w:rsidRPr="00591BBA" w:rsidRDefault="00591BBA" w:rsidP="00591BBA">
      <w:pPr>
        <w:pStyle w:val="BodyText"/>
        <w:spacing w:before="0" w:beforeAutospacing="0" w:after="0" w:afterAutospacing="0" w:line="276" w:lineRule="auto"/>
        <w:ind w:left="1440" w:hanging="873"/>
        <w:jc w:val="both"/>
        <w:rPr>
          <w:rFonts w:ascii="Cambria" w:hAnsi="Cambria"/>
        </w:rPr>
      </w:pPr>
      <w:r w:rsidRPr="00591BBA">
        <w:rPr>
          <w:rFonts w:ascii="Cambria" w:hAnsi="Cambria"/>
          <w:i/>
        </w:rPr>
        <w:t xml:space="preserve">Corporate Value Creation </w:t>
      </w:r>
      <w:r w:rsidRPr="00591BBA">
        <w:rPr>
          <w:rFonts w:ascii="Cambria" w:hAnsi="Cambria"/>
        </w:rPr>
        <w:t>Edisi Kesatu. Yogyakarta. UPP STIM YKPN. Y Ariesa, YPCB Sitepu - Jurnal Ekonomi Bisnis Manajemen Prima, 2020.</w:t>
      </w:r>
    </w:p>
    <w:p w14:paraId="670FE764" w14:textId="77777777" w:rsidR="00591BBA" w:rsidRPr="00591BBA" w:rsidRDefault="00591BBA" w:rsidP="00591BBA">
      <w:pPr>
        <w:widowControl w:val="0"/>
        <w:spacing w:after="0" w:line="276" w:lineRule="auto"/>
        <w:ind w:left="1440" w:hanging="873"/>
        <w:jc w:val="both"/>
        <w:rPr>
          <w:rFonts w:ascii="Cambria" w:eastAsia="Cambria" w:hAnsi="Cambria" w:cs="Cambria"/>
          <w:sz w:val="24"/>
          <w:szCs w:val="24"/>
        </w:rPr>
      </w:pPr>
    </w:p>
    <w:p w14:paraId="682CDBC4" w14:textId="77777777" w:rsidR="00591BBA" w:rsidRPr="00591BBA" w:rsidRDefault="00591BBA" w:rsidP="00591BBA">
      <w:pPr>
        <w:widowControl w:val="0"/>
        <w:spacing w:after="0" w:line="276" w:lineRule="auto"/>
        <w:ind w:left="1440" w:hanging="873"/>
        <w:jc w:val="both"/>
        <w:rPr>
          <w:rFonts w:ascii="Cambria" w:eastAsia="Cambria" w:hAnsi="Cambria" w:cs="Cambria"/>
          <w:sz w:val="24"/>
          <w:szCs w:val="24"/>
        </w:rPr>
      </w:pPr>
    </w:p>
    <w:p w14:paraId="1BF7D263" w14:textId="77777777" w:rsidR="00591BBA" w:rsidRPr="00591BBA" w:rsidRDefault="00591BBA" w:rsidP="00591BBA">
      <w:pPr>
        <w:widowControl w:val="0"/>
        <w:spacing w:after="0" w:line="276" w:lineRule="auto"/>
        <w:ind w:left="1440" w:hanging="873"/>
        <w:jc w:val="both"/>
        <w:rPr>
          <w:rFonts w:ascii="Cambria" w:eastAsia="Cambria" w:hAnsi="Cambria" w:cs="Cambria"/>
          <w:sz w:val="24"/>
          <w:szCs w:val="24"/>
        </w:rPr>
      </w:pPr>
    </w:p>
    <w:p w14:paraId="51A62A56" w14:textId="46F018FA" w:rsidR="00CD78D3" w:rsidRPr="00591BBA" w:rsidRDefault="00CD78D3" w:rsidP="00591BBA">
      <w:pPr>
        <w:spacing w:after="0" w:line="276" w:lineRule="auto"/>
        <w:ind w:left="1440" w:hanging="873"/>
        <w:jc w:val="both"/>
        <w:rPr>
          <w:rFonts w:ascii="Cambria" w:eastAsia="Cambria" w:hAnsi="Cambria" w:cs="Cambria"/>
          <w:sz w:val="24"/>
          <w:szCs w:val="24"/>
        </w:rPr>
      </w:pPr>
    </w:p>
    <w:sectPr w:rsidR="00CD78D3" w:rsidRPr="00591BBA" w:rsidSect="00787D28">
      <w:footerReference w:type="even" r:id="rId34"/>
      <w:footerReference w:type="default" r:id="rId35"/>
      <w:headerReference w:type="first" r:id="rId36"/>
      <w:footerReference w:type="first" r:id="rId3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9E30F1" w14:textId="77777777" w:rsidR="008016B1" w:rsidRDefault="008016B1">
      <w:pPr>
        <w:spacing w:after="0" w:line="240" w:lineRule="auto"/>
      </w:pPr>
      <w:r>
        <w:separator/>
      </w:r>
    </w:p>
  </w:endnote>
  <w:endnote w:type="continuationSeparator" w:id="0">
    <w:p w14:paraId="178D8590" w14:textId="77777777" w:rsidR="008016B1" w:rsidRDefault="008016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swiss"/>
    <w:pitch w:val="variable"/>
    <w:sig w:usb0="00000001"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DF6C38" w14:textId="77777777" w:rsidR="00591BBA" w:rsidRDefault="00591BBA">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856FAB">
      <w:rPr>
        <w:rFonts w:ascii="Cambria" w:eastAsia="Cambria" w:hAnsi="Cambria" w:cs="Cambria"/>
        <w:b/>
        <w:noProof/>
        <w:color w:val="000000"/>
        <w:sz w:val="20"/>
        <w:szCs w:val="20"/>
      </w:rPr>
      <w:t>22</w:t>
    </w:r>
    <w:r>
      <w:rPr>
        <w:rFonts w:ascii="Cambria" w:eastAsia="Cambria" w:hAnsi="Cambria" w:cs="Cambria"/>
        <w:b/>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82FF1A" w14:textId="2755D66D" w:rsidR="00591BBA" w:rsidRDefault="00591BBA">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856FAB">
      <w:rPr>
        <w:rFonts w:ascii="Cambria" w:eastAsia="Cambria" w:hAnsi="Cambria" w:cs="Cambria"/>
        <w:b/>
        <w:noProof/>
        <w:color w:val="000000"/>
        <w:sz w:val="20"/>
        <w:szCs w:val="20"/>
      </w:rPr>
      <w:t>21</w:t>
    </w:r>
    <w:r>
      <w:rPr>
        <w:rFonts w:ascii="Cambria" w:eastAsia="Cambria" w:hAnsi="Cambria" w:cs="Cambria"/>
        <w:b/>
        <w:color w:val="000000"/>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05C5BD" w14:textId="77777777" w:rsidR="00591BBA" w:rsidRDefault="00591BBA">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Pr>
        <w:rFonts w:ascii="Cambria" w:eastAsia="Cambria" w:hAnsi="Cambria" w:cs="Cambria"/>
        <w:b/>
        <w:noProof/>
        <w:color w:val="000000"/>
        <w:sz w:val="20"/>
        <w:szCs w:val="20"/>
      </w:rPr>
      <w:t>13</w:t>
    </w:r>
    <w:r>
      <w:rPr>
        <w:rFonts w:ascii="Cambria" w:eastAsia="Cambria" w:hAnsi="Cambria" w:cs="Cambria"/>
        <w:b/>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25C8D3" w14:textId="77777777" w:rsidR="008016B1" w:rsidRDefault="008016B1">
      <w:pPr>
        <w:spacing w:after="0" w:line="240" w:lineRule="auto"/>
      </w:pPr>
      <w:r>
        <w:separator/>
      </w:r>
    </w:p>
  </w:footnote>
  <w:footnote w:type="continuationSeparator" w:id="0">
    <w:p w14:paraId="2357BD34" w14:textId="77777777" w:rsidR="008016B1" w:rsidRDefault="008016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0CFF08" w14:textId="5F3395C2" w:rsidR="00591BBA" w:rsidRPr="00CD78D3" w:rsidRDefault="00591BBA" w:rsidP="00CD78D3">
    <w:pPr>
      <w:pStyle w:val="Header"/>
      <w:rPr>
        <w:rStyle w:val="Hyperlink"/>
        <w:rFonts w:ascii="Open Sans" w:hAnsi="Open Sans" w:cs="Open Sans"/>
        <w:b/>
        <w:bCs/>
        <w:color w:val="0D355E"/>
        <w:sz w:val="19"/>
        <w:szCs w:val="19"/>
        <w:u w:val="none"/>
        <w:shd w:val="clear" w:color="auto" w:fill="FFFFFF"/>
      </w:rPr>
    </w:pPr>
    <w:r>
      <w:rPr>
        <w:noProof/>
        <w:lang w:val="id-ID" w:eastAsia="id-ID"/>
      </w:rPr>
      <w:drawing>
        <wp:anchor distT="0" distB="0" distL="114300" distR="114300" simplePos="0" relativeHeight="251659264" behindDoc="0" locked="0" layoutInCell="1" allowOverlap="1" wp14:anchorId="605CE7FB" wp14:editId="351B9DD8">
          <wp:simplePos x="0" y="0"/>
          <wp:positionH relativeFrom="column">
            <wp:posOffset>3940468</wp:posOffset>
          </wp:positionH>
          <wp:positionV relativeFrom="paragraph">
            <wp:posOffset>89535</wp:posOffset>
          </wp:positionV>
          <wp:extent cx="1630680" cy="407670"/>
          <wp:effectExtent l="0" t="0" r="7620" b="0"/>
          <wp:wrapTopAndBottom/>
          <wp:docPr id="539084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084348" name=""/>
                  <pic:cNvPicPr/>
                </pic:nvPicPr>
                <pic:blipFill rotWithShape="1">
                  <a:blip r:embed="rId1">
                    <a:extLst>
                      <a:ext uri="{28A0092B-C50C-407E-A947-70E740481C1C}">
                        <a14:useLocalDpi xmlns:a14="http://schemas.microsoft.com/office/drawing/2010/main" val="0"/>
                      </a:ext>
                    </a:extLst>
                  </a:blip>
                  <a:srcRect l="38602" t="17793" r="33764" b="58909"/>
                  <a:stretch/>
                </pic:blipFill>
                <pic:spPr bwMode="auto">
                  <a:xfrm>
                    <a:off x="0" y="0"/>
                    <a:ext cx="1630680" cy="407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2" w:history="1">
      <w:r w:rsidRPr="00CD78D3">
        <w:rPr>
          <w:rStyle w:val="Hyperlink"/>
          <w:rFonts w:ascii="Open Sans" w:hAnsi="Open Sans" w:cs="Open Sans"/>
          <w:b/>
          <w:bCs/>
          <w:color w:val="0D355E"/>
          <w:sz w:val="19"/>
          <w:szCs w:val="19"/>
          <w:u w:val="none"/>
          <w:shd w:val="clear" w:color="auto" w:fill="FFFFFF"/>
        </w:rPr>
        <w:t>IJMA (Indonesian Journal of Management and Accounting)</w:t>
      </w:r>
    </w:hyperlink>
  </w:p>
  <w:p w14:paraId="00DE6AE0" w14:textId="79ED0606" w:rsidR="00591BBA" w:rsidRPr="00CD78D3" w:rsidRDefault="00591BBA" w:rsidP="00CD78D3">
    <w:pPr>
      <w:pStyle w:val="Header"/>
      <w:rPr>
        <w:rStyle w:val="Hyperlink"/>
        <w:rFonts w:ascii="Open Sans" w:hAnsi="Open Sans" w:cs="Open Sans"/>
        <w:b/>
        <w:bCs/>
        <w:color w:val="0D355E"/>
        <w:sz w:val="19"/>
        <w:szCs w:val="19"/>
        <w:u w:val="none"/>
        <w:shd w:val="clear" w:color="auto" w:fill="FFFFFF"/>
      </w:rPr>
    </w:pPr>
    <w:r w:rsidRPr="00CD78D3">
      <w:rPr>
        <w:rStyle w:val="Hyperlink"/>
        <w:rFonts w:ascii="Open Sans" w:hAnsi="Open Sans" w:cs="Open Sans"/>
        <w:b/>
        <w:bCs/>
        <w:color w:val="0D355E"/>
        <w:sz w:val="19"/>
        <w:szCs w:val="19"/>
        <w:u w:val="none"/>
        <w:shd w:val="clear" w:color="auto" w:fill="FFFFFF"/>
      </w:rPr>
      <w:t>Volume 1 No. 1 | FEBRUARI 2020</w:t>
    </w:r>
  </w:p>
  <w:p w14:paraId="78B4B301" w14:textId="47443489" w:rsidR="00591BBA" w:rsidRPr="00CD78D3" w:rsidRDefault="00591BBA" w:rsidP="00CD78D3">
    <w:pPr>
      <w:widowControl w:val="0"/>
      <w:spacing w:after="0" w:line="240" w:lineRule="auto"/>
      <w:ind w:left="480" w:hanging="480"/>
      <w:jc w:val="both"/>
      <w:rPr>
        <w:rStyle w:val="Hyperlink"/>
        <w:rFonts w:ascii="Open Sans" w:hAnsi="Open Sans" w:cs="Open Sans"/>
        <w:b/>
        <w:bCs/>
        <w:color w:val="0D355E"/>
        <w:sz w:val="19"/>
        <w:szCs w:val="19"/>
        <w:u w:val="none"/>
        <w:shd w:val="clear" w:color="auto" w:fill="FFFFFF"/>
      </w:rPr>
    </w:pPr>
    <w:hyperlink r:id="rId3" w:history="1">
      <w:r w:rsidRPr="00CD78D3">
        <w:rPr>
          <w:rStyle w:val="Hyperlink"/>
          <w:rFonts w:ascii="Open Sans" w:hAnsi="Open Sans" w:cs="Open Sans"/>
          <w:b/>
          <w:bCs/>
          <w:color w:val="0D355E"/>
          <w:sz w:val="19"/>
          <w:szCs w:val="19"/>
          <w:u w:val="none"/>
          <w:shd w:val="clear" w:color="auto" w:fill="FFFFFF"/>
        </w:rPr>
        <w:t>https://ejournal.almaata.ac.id/index.php/IJMA/index</w:t>
      </w:r>
    </w:hyperlink>
  </w:p>
  <w:p w14:paraId="173DC3B9" w14:textId="0E7593B7" w:rsidR="00591BBA" w:rsidRDefault="00591BBA" w:rsidP="00CD78D3">
    <w:pPr>
      <w:pBdr>
        <w:top w:val="nil"/>
        <w:left w:val="nil"/>
        <w:bottom w:val="nil"/>
        <w:right w:val="nil"/>
        <w:between w:val="nil"/>
      </w:pBdr>
      <w:tabs>
        <w:tab w:val="center" w:pos="4513"/>
        <w:tab w:val="right" w:pos="9026"/>
      </w:tabs>
      <w:spacing w:after="0" w:line="240" w:lineRule="auto"/>
      <w:jc w:val="right"/>
      <w:rPr>
        <w:rFonts w:ascii="Cambria" w:eastAsia="Cambria" w:hAnsi="Cambria" w:cs="Cambria"/>
        <w:i/>
        <w:color w:val="000000"/>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D52CE"/>
    <w:multiLevelType w:val="multilevel"/>
    <w:tmpl w:val="E59657C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C3A35FF"/>
    <w:multiLevelType w:val="hybridMultilevel"/>
    <w:tmpl w:val="45FC28D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46A6982"/>
    <w:multiLevelType w:val="multilevel"/>
    <w:tmpl w:val="CA1625A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B41362E"/>
    <w:multiLevelType w:val="multilevel"/>
    <w:tmpl w:val="A8845B64"/>
    <w:lvl w:ilvl="0">
      <w:start w:val="1"/>
      <w:numFmt w:val="decimal"/>
      <w:lvlText w:val="%1."/>
      <w:lvlJc w:val="left"/>
      <w:pPr>
        <w:ind w:left="720" w:hanging="360"/>
      </w:pPr>
      <w:rPr>
        <w:rFonts w:ascii="Times New Roman" w:hAnsi="Times New Roman" w:cs="Times New Roman" w:hint="default"/>
        <w:b w:val="0"/>
        <w:bCs w:val="0"/>
        <w:i w:val="0"/>
        <w:iCs w:val="0"/>
      </w:rPr>
    </w:lvl>
    <w:lvl w:ilvl="1">
      <w:start w:val="1"/>
      <w:numFmt w:val="decimal"/>
      <w:lvlText w:val="%1.%2"/>
      <w:lvlJc w:val="left"/>
      <w:pPr>
        <w:ind w:left="1440" w:hanging="360"/>
      </w:pPr>
      <w:rPr>
        <w:rFonts w:ascii="Times New Roman" w:hAnsi="Times New Roman" w:cs="Times New Roman" w:hint="default"/>
        <w:b/>
        <w:bCs/>
        <w:i w:val="0"/>
        <w:iCs w:val="0"/>
      </w:rPr>
    </w:lvl>
    <w:lvl w:ilvl="2">
      <w:start w:val="1"/>
      <w:numFmt w:val="decimal"/>
      <w:lvlText w:val="%3."/>
      <w:lvlJc w:val="left"/>
      <w:pPr>
        <w:ind w:left="2160" w:hanging="360"/>
      </w:pPr>
      <w:rPr>
        <w:rFonts w:ascii="Times New Roman" w:hAnsi="Times New Roman" w:cs="Times New Roman" w:hint="default"/>
        <w:b w:val="0"/>
        <w:bCs w:val="0"/>
        <w:i w:val="0"/>
        <w:iCs w:val="0"/>
      </w:rPr>
    </w:lvl>
    <w:lvl w:ilvl="3">
      <w:numFmt w:val="bullet"/>
      <w:lvlText w:val="•"/>
      <w:lvlJc w:val="left"/>
      <w:pPr>
        <w:ind w:left="2880" w:hanging="360"/>
      </w:pPr>
      <w:rPr>
        <w:rFonts w:ascii="Times New Roman" w:hAnsi="Times New Roman" w:cs="Times New Roman" w:hint="default"/>
      </w:rPr>
    </w:lvl>
    <w:lvl w:ilvl="4">
      <w:numFmt w:val="bullet"/>
      <w:lvlText w:val="•"/>
      <w:lvlJc w:val="left"/>
      <w:pPr>
        <w:ind w:left="3600" w:hanging="360"/>
      </w:pPr>
      <w:rPr>
        <w:rFonts w:ascii="Times New Roman" w:hAnsi="Times New Roman" w:cs="Times New Roman" w:hint="default"/>
      </w:rPr>
    </w:lvl>
    <w:lvl w:ilvl="5">
      <w:numFmt w:val="bullet"/>
      <w:lvlText w:val="•"/>
      <w:lvlJc w:val="left"/>
      <w:pPr>
        <w:ind w:left="4320" w:hanging="360"/>
      </w:pPr>
      <w:rPr>
        <w:rFonts w:ascii="Times New Roman" w:hAnsi="Times New Roman" w:cs="Times New Roman" w:hint="default"/>
      </w:rPr>
    </w:lvl>
    <w:lvl w:ilvl="6">
      <w:numFmt w:val="bullet"/>
      <w:lvlText w:val="•"/>
      <w:lvlJc w:val="left"/>
      <w:pPr>
        <w:ind w:left="5040" w:hanging="360"/>
      </w:pPr>
      <w:rPr>
        <w:rFonts w:ascii="Times New Roman" w:hAnsi="Times New Roman" w:cs="Times New Roman" w:hint="default"/>
      </w:rPr>
    </w:lvl>
    <w:lvl w:ilvl="7">
      <w:numFmt w:val="bullet"/>
      <w:lvlText w:val="•"/>
      <w:lvlJc w:val="left"/>
      <w:pPr>
        <w:ind w:left="5760" w:hanging="360"/>
      </w:pPr>
      <w:rPr>
        <w:rFonts w:ascii="Times New Roman" w:hAnsi="Times New Roman" w:cs="Times New Roman" w:hint="default"/>
      </w:rPr>
    </w:lvl>
    <w:lvl w:ilvl="8">
      <w:numFmt w:val="bullet"/>
      <w:lvlText w:val="•"/>
      <w:lvlJc w:val="left"/>
      <w:pPr>
        <w:ind w:left="6480" w:hanging="360"/>
      </w:pPr>
      <w:rPr>
        <w:rFonts w:ascii="Times New Roman" w:hAnsi="Times New Roman" w:cs="Times New Roman" w:hint="default"/>
      </w:rPr>
    </w:lvl>
  </w:abstractNum>
  <w:abstractNum w:abstractNumId="4">
    <w:nsid w:val="1CF92938"/>
    <w:multiLevelType w:val="hybridMultilevel"/>
    <w:tmpl w:val="0666E20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D0D21F5"/>
    <w:multiLevelType w:val="hybridMultilevel"/>
    <w:tmpl w:val="A01830B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23570A8"/>
    <w:multiLevelType w:val="multilevel"/>
    <w:tmpl w:val="E76EF63A"/>
    <w:lvl w:ilvl="0">
      <w:start w:val="1"/>
      <w:numFmt w:val="decimal"/>
      <w:lvlText w:val="%1."/>
      <w:lvlJc w:val="left"/>
      <w:pPr>
        <w:ind w:left="720" w:hanging="360"/>
      </w:pPr>
      <w:rPr>
        <w:rFonts w:ascii="Times New Roman" w:hAnsi="Times New Roman" w:cs="Times New Roman" w:hint="default"/>
        <w:b w:val="0"/>
        <w:bCs w:val="0"/>
        <w:i w:val="0"/>
        <w:iCs w:val="0"/>
      </w:rPr>
    </w:lvl>
    <w:lvl w:ilvl="1">
      <w:numFmt w:val="bullet"/>
      <w:lvlText w:val="•"/>
      <w:lvlJc w:val="left"/>
      <w:pPr>
        <w:ind w:left="1440" w:hanging="360"/>
      </w:pPr>
      <w:rPr>
        <w:rFonts w:ascii="Times New Roman" w:hAnsi="Times New Roman" w:cs="Times New Roman" w:hint="default"/>
      </w:rPr>
    </w:lvl>
    <w:lvl w:ilvl="2">
      <w:numFmt w:val="bullet"/>
      <w:lvlText w:val="•"/>
      <w:lvlJc w:val="left"/>
      <w:pPr>
        <w:ind w:left="2160" w:hanging="360"/>
      </w:pPr>
      <w:rPr>
        <w:rFonts w:ascii="Times New Roman" w:hAnsi="Times New Roman" w:cs="Times New Roman" w:hint="default"/>
      </w:rPr>
    </w:lvl>
    <w:lvl w:ilvl="3">
      <w:numFmt w:val="bullet"/>
      <w:lvlText w:val="•"/>
      <w:lvlJc w:val="left"/>
      <w:pPr>
        <w:ind w:left="2880" w:hanging="360"/>
      </w:pPr>
      <w:rPr>
        <w:rFonts w:ascii="Times New Roman" w:hAnsi="Times New Roman" w:cs="Times New Roman" w:hint="default"/>
      </w:rPr>
    </w:lvl>
    <w:lvl w:ilvl="4">
      <w:numFmt w:val="bullet"/>
      <w:lvlText w:val="•"/>
      <w:lvlJc w:val="left"/>
      <w:pPr>
        <w:ind w:left="3600" w:hanging="360"/>
      </w:pPr>
      <w:rPr>
        <w:rFonts w:ascii="Times New Roman" w:hAnsi="Times New Roman" w:cs="Times New Roman" w:hint="default"/>
      </w:rPr>
    </w:lvl>
    <w:lvl w:ilvl="5">
      <w:numFmt w:val="bullet"/>
      <w:lvlText w:val="•"/>
      <w:lvlJc w:val="left"/>
      <w:pPr>
        <w:ind w:left="4320" w:hanging="360"/>
      </w:pPr>
      <w:rPr>
        <w:rFonts w:ascii="Times New Roman" w:hAnsi="Times New Roman" w:cs="Times New Roman" w:hint="default"/>
      </w:rPr>
    </w:lvl>
    <w:lvl w:ilvl="6">
      <w:numFmt w:val="bullet"/>
      <w:lvlText w:val="•"/>
      <w:lvlJc w:val="left"/>
      <w:pPr>
        <w:ind w:left="5040" w:hanging="360"/>
      </w:pPr>
      <w:rPr>
        <w:rFonts w:ascii="Times New Roman" w:hAnsi="Times New Roman" w:cs="Times New Roman" w:hint="default"/>
      </w:rPr>
    </w:lvl>
    <w:lvl w:ilvl="7">
      <w:numFmt w:val="bullet"/>
      <w:lvlText w:val="•"/>
      <w:lvlJc w:val="left"/>
      <w:pPr>
        <w:ind w:left="5760" w:hanging="360"/>
      </w:pPr>
      <w:rPr>
        <w:rFonts w:ascii="Times New Roman" w:hAnsi="Times New Roman" w:cs="Times New Roman" w:hint="default"/>
      </w:rPr>
    </w:lvl>
    <w:lvl w:ilvl="8">
      <w:numFmt w:val="bullet"/>
      <w:lvlText w:val="•"/>
      <w:lvlJc w:val="left"/>
      <w:pPr>
        <w:ind w:left="6480" w:hanging="360"/>
      </w:pPr>
      <w:rPr>
        <w:rFonts w:ascii="Times New Roman" w:hAnsi="Times New Roman" w:cs="Times New Roman" w:hint="default"/>
      </w:rPr>
    </w:lvl>
  </w:abstractNum>
  <w:abstractNum w:abstractNumId="7">
    <w:nsid w:val="22C35066"/>
    <w:multiLevelType w:val="hybridMultilevel"/>
    <w:tmpl w:val="CC52DFAE"/>
    <w:lvl w:ilvl="0" w:tplc="04210019">
      <w:start w:val="1"/>
      <w:numFmt w:val="lowerLetter"/>
      <w:lvlText w:val="%1."/>
      <w:lvlJc w:val="left"/>
      <w:pPr>
        <w:ind w:left="720" w:hanging="360"/>
      </w:pPr>
      <w:rPr>
        <w:rFonts w:hint="default"/>
      </w:rPr>
    </w:lvl>
    <w:lvl w:ilvl="1" w:tplc="04210019">
      <w:start w:val="1"/>
      <w:numFmt w:val="lowerLetter"/>
      <w:lvlText w:val="%2."/>
      <w:lvlJc w:val="left"/>
      <w:pPr>
        <w:ind w:left="786"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43674FB"/>
    <w:multiLevelType w:val="multilevel"/>
    <w:tmpl w:val="092C4E4C"/>
    <w:lvl w:ilvl="0">
      <w:start w:val="1"/>
      <w:numFmt w:val="decimal"/>
      <w:lvlText w:val="%1"/>
      <w:lvlJc w:val="left"/>
      <w:pPr>
        <w:ind w:left="720" w:hanging="360"/>
      </w:pPr>
      <w:rPr>
        <w:rFonts w:ascii="Times New Roman" w:hAnsi="Times New Roman" w:cs="Times New Roman" w:hint="default"/>
      </w:rPr>
    </w:lvl>
    <w:lvl w:ilvl="1">
      <w:start w:val="1"/>
      <w:numFmt w:val="decimal"/>
      <w:lvlText w:val="%1.%2."/>
      <w:lvlJc w:val="left"/>
      <w:pPr>
        <w:ind w:left="1440" w:hanging="360"/>
      </w:pPr>
      <w:rPr>
        <w:rFonts w:ascii="Times New Roman" w:hAnsi="Times New Roman" w:cs="Times New Roman" w:hint="default"/>
        <w:b/>
        <w:bCs/>
        <w:i w:val="0"/>
        <w:iCs w:val="0"/>
      </w:rPr>
    </w:lvl>
    <w:lvl w:ilvl="2">
      <w:start w:val="1"/>
      <w:numFmt w:val="decimal"/>
      <w:lvlText w:val="%1.%2.%3"/>
      <w:lvlJc w:val="left"/>
      <w:pPr>
        <w:ind w:left="2160" w:hanging="360"/>
      </w:pPr>
      <w:rPr>
        <w:rFonts w:ascii="Times New Roman" w:hAnsi="Times New Roman" w:cs="Times New Roman" w:hint="default"/>
        <w:b/>
        <w:bCs/>
        <w:i w:val="0"/>
        <w:iCs w:val="0"/>
      </w:rPr>
    </w:lvl>
    <w:lvl w:ilvl="3">
      <w:numFmt w:val="bullet"/>
      <w:lvlText w:val="•"/>
      <w:lvlJc w:val="left"/>
      <w:pPr>
        <w:ind w:left="2880" w:hanging="360"/>
      </w:pPr>
      <w:rPr>
        <w:rFonts w:ascii="Times New Roman" w:hAnsi="Times New Roman" w:cs="Times New Roman" w:hint="default"/>
      </w:rPr>
    </w:lvl>
    <w:lvl w:ilvl="4">
      <w:numFmt w:val="bullet"/>
      <w:lvlText w:val="•"/>
      <w:lvlJc w:val="left"/>
      <w:pPr>
        <w:ind w:left="3600" w:hanging="360"/>
      </w:pPr>
      <w:rPr>
        <w:rFonts w:ascii="Times New Roman" w:hAnsi="Times New Roman" w:cs="Times New Roman" w:hint="default"/>
      </w:rPr>
    </w:lvl>
    <w:lvl w:ilvl="5">
      <w:numFmt w:val="bullet"/>
      <w:lvlText w:val="•"/>
      <w:lvlJc w:val="left"/>
      <w:pPr>
        <w:ind w:left="4320" w:hanging="360"/>
      </w:pPr>
      <w:rPr>
        <w:rFonts w:ascii="Times New Roman" w:hAnsi="Times New Roman" w:cs="Times New Roman" w:hint="default"/>
      </w:rPr>
    </w:lvl>
    <w:lvl w:ilvl="6">
      <w:numFmt w:val="bullet"/>
      <w:lvlText w:val="•"/>
      <w:lvlJc w:val="left"/>
      <w:pPr>
        <w:ind w:left="5040" w:hanging="360"/>
      </w:pPr>
      <w:rPr>
        <w:rFonts w:ascii="Times New Roman" w:hAnsi="Times New Roman" w:cs="Times New Roman" w:hint="default"/>
      </w:rPr>
    </w:lvl>
    <w:lvl w:ilvl="7">
      <w:numFmt w:val="bullet"/>
      <w:lvlText w:val="•"/>
      <w:lvlJc w:val="left"/>
      <w:pPr>
        <w:ind w:left="5760" w:hanging="360"/>
      </w:pPr>
      <w:rPr>
        <w:rFonts w:ascii="Times New Roman" w:hAnsi="Times New Roman" w:cs="Times New Roman" w:hint="default"/>
      </w:rPr>
    </w:lvl>
    <w:lvl w:ilvl="8">
      <w:numFmt w:val="bullet"/>
      <w:lvlText w:val="•"/>
      <w:lvlJc w:val="left"/>
      <w:pPr>
        <w:ind w:left="6480" w:hanging="360"/>
      </w:pPr>
      <w:rPr>
        <w:rFonts w:ascii="Times New Roman" w:hAnsi="Times New Roman" w:cs="Times New Roman" w:hint="default"/>
      </w:rPr>
    </w:lvl>
  </w:abstractNum>
  <w:abstractNum w:abstractNumId="9">
    <w:nsid w:val="2EC31EEC"/>
    <w:multiLevelType w:val="multilevel"/>
    <w:tmpl w:val="E76EF63A"/>
    <w:lvl w:ilvl="0">
      <w:start w:val="1"/>
      <w:numFmt w:val="decimal"/>
      <w:lvlText w:val="%1."/>
      <w:lvlJc w:val="left"/>
      <w:pPr>
        <w:ind w:left="720" w:hanging="360"/>
      </w:pPr>
      <w:rPr>
        <w:rFonts w:ascii="Times New Roman" w:hAnsi="Times New Roman" w:cs="Times New Roman" w:hint="default"/>
        <w:b w:val="0"/>
        <w:bCs w:val="0"/>
        <w:i w:val="0"/>
        <w:iCs w:val="0"/>
      </w:rPr>
    </w:lvl>
    <w:lvl w:ilvl="1">
      <w:numFmt w:val="bullet"/>
      <w:lvlText w:val="•"/>
      <w:lvlJc w:val="left"/>
      <w:pPr>
        <w:ind w:left="1440" w:hanging="360"/>
      </w:pPr>
      <w:rPr>
        <w:rFonts w:ascii="Times New Roman" w:hAnsi="Times New Roman" w:cs="Times New Roman" w:hint="default"/>
      </w:rPr>
    </w:lvl>
    <w:lvl w:ilvl="2">
      <w:numFmt w:val="bullet"/>
      <w:lvlText w:val="•"/>
      <w:lvlJc w:val="left"/>
      <w:pPr>
        <w:ind w:left="2160" w:hanging="360"/>
      </w:pPr>
      <w:rPr>
        <w:rFonts w:ascii="Times New Roman" w:hAnsi="Times New Roman" w:cs="Times New Roman" w:hint="default"/>
      </w:rPr>
    </w:lvl>
    <w:lvl w:ilvl="3">
      <w:numFmt w:val="bullet"/>
      <w:lvlText w:val="•"/>
      <w:lvlJc w:val="left"/>
      <w:pPr>
        <w:ind w:left="2880" w:hanging="360"/>
      </w:pPr>
      <w:rPr>
        <w:rFonts w:ascii="Times New Roman" w:hAnsi="Times New Roman" w:cs="Times New Roman" w:hint="default"/>
      </w:rPr>
    </w:lvl>
    <w:lvl w:ilvl="4">
      <w:numFmt w:val="bullet"/>
      <w:lvlText w:val="•"/>
      <w:lvlJc w:val="left"/>
      <w:pPr>
        <w:ind w:left="3600" w:hanging="360"/>
      </w:pPr>
      <w:rPr>
        <w:rFonts w:ascii="Times New Roman" w:hAnsi="Times New Roman" w:cs="Times New Roman" w:hint="default"/>
      </w:rPr>
    </w:lvl>
    <w:lvl w:ilvl="5">
      <w:numFmt w:val="bullet"/>
      <w:lvlText w:val="•"/>
      <w:lvlJc w:val="left"/>
      <w:pPr>
        <w:ind w:left="4320" w:hanging="360"/>
      </w:pPr>
      <w:rPr>
        <w:rFonts w:ascii="Times New Roman" w:hAnsi="Times New Roman" w:cs="Times New Roman" w:hint="default"/>
      </w:rPr>
    </w:lvl>
    <w:lvl w:ilvl="6">
      <w:numFmt w:val="bullet"/>
      <w:lvlText w:val="•"/>
      <w:lvlJc w:val="left"/>
      <w:pPr>
        <w:ind w:left="5040" w:hanging="360"/>
      </w:pPr>
      <w:rPr>
        <w:rFonts w:ascii="Times New Roman" w:hAnsi="Times New Roman" w:cs="Times New Roman" w:hint="default"/>
      </w:rPr>
    </w:lvl>
    <w:lvl w:ilvl="7">
      <w:numFmt w:val="bullet"/>
      <w:lvlText w:val="•"/>
      <w:lvlJc w:val="left"/>
      <w:pPr>
        <w:ind w:left="5760" w:hanging="360"/>
      </w:pPr>
      <w:rPr>
        <w:rFonts w:ascii="Times New Roman" w:hAnsi="Times New Roman" w:cs="Times New Roman" w:hint="default"/>
      </w:rPr>
    </w:lvl>
    <w:lvl w:ilvl="8">
      <w:numFmt w:val="bullet"/>
      <w:lvlText w:val="•"/>
      <w:lvlJc w:val="left"/>
      <w:pPr>
        <w:ind w:left="6480" w:hanging="360"/>
      </w:pPr>
      <w:rPr>
        <w:rFonts w:ascii="Times New Roman" w:hAnsi="Times New Roman" w:cs="Times New Roman" w:hint="default"/>
      </w:rPr>
    </w:lvl>
  </w:abstractNum>
  <w:abstractNum w:abstractNumId="10">
    <w:nsid w:val="2F9E6BC7"/>
    <w:multiLevelType w:val="multilevel"/>
    <w:tmpl w:val="FBE630B4"/>
    <w:lvl w:ilvl="0">
      <w:start w:val="1"/>
      <w:numFmt w:val="decimal"/>
      <w:lvlText w:val="%1."/>
      <w:lvlJc w:val="left"/>
      <w:pPr>
        <w:ind w:left="720" w:hanging="360"/>
      </w:pPr>
      <w:rPr>
        <w:rFonts w:ascii="Times New Roman" w:hAnsi="Times New Roman" w:cs="Times New Roman" w:hint="default"/>
        <w:b w:val="0"/>
        <w:bCs w:val="0"/>
        <w:i w:val="0"/>
        <w:iCs w:val="0"/>
      </w:rPr>
    </w:lvl>
    <w:lvl w:ilvl="1">
      <w:numFmt w:val="bullet"/>
      <w:lvlText w:val="•"/>
      <w:lvlJc w:val="left"/>
      <w:pPr>
        <w:ind w:left="1440" w:hanging="360"/>
      </w:pPr>
      <w:rPr>
        <w:rFonts w:ascii="Times New Roman" w:hAnsi="Times New Roman" w:cs="Times New Roman" w:hint="default"/>
      </w:rPr>
    </w:lvl>
    <w:lvl w:ilvl="2">
      <w:numFmt w:val="bullet"/>
      <w:lvlText w:val="•"/>
      <w:lvlJc w:val="left"/>
      <w:pPr>
        <w:ind w:left="2160" w:hanging="360"/>
      </w:pPr>
      <w:rPr>
        <w:rFonts w:ascii="Times New Roman" w:hAnsi="Times New Roman" w:cs="Times New Roman" w:hint="default"/>
      </w:rPr>
    </w:lvl>
    <w:lvl w:ilvl="3">
      <w:numFmt w:val="bullet"/>
      <w:lvlText w:val="•"/>
      <w:lvlJc w:val="left"/>
      <w:pPr>
        <w:ind w:left="2880" w:hanging="360"/>
      </w:pPr>
      <w:rPr>
        <w:rFonts w:ascii="Times New Roman" w:hAnsi="Times New Roman" w:cs="Times New Roman" w:hint="default"/>
      </w:rPr>
    </w:lvl>
    <w:lvl w:ilvl="4">
      <w:numFmt w:val="bullet"/>
      <w:lvlText w:val="•"/>
      <w:lvlJc w:val="left"/>
      <w:pPr>
        <w:ind w:left="3600" w:hanging="360"/>
      </w:pPr>
      <w:rPr>
        <w:rFonts w:ascii="Times New Roman" w:hAnsi="Times New Roman" w:cs="Times New Roman" w:hint="default"/>
      </w:rPr>
    </w:lvl>
    <w:lvl w:ilvl="5">
      <w:numFmt w:val="bullet"/>
      <w:lvlText w:val="•"/>
      <w:lvlJc w:val="left"/>
      <w:pPr>
        <w:ind w:left="4320" w:hanging="360"/>
      </w:pPr>
      <w:rPr>
        <w:rFonts w:ascii="Times New Roman" w:hAnsi="Times New Roman" w:cs="Times New Roman" w:hint="default"/>
      </w:rPr>
    </w:lvl>
    <w:lvl w:ilvl="6">
      <w:numFmt w:val="bullet"/>
      <w:lvlText w:val="•"/>
      <w:lvlJc w:val="left"/>
      <w:pPr>
        <w:ind w:left="5040" w:hanging="360"/>
      </w:pPr>
      <w:rPr>
        <w:rFonts w:ascii="Times New Roman" w:hAnsi="Times New Roman" w:cs="Times New Roman" w:hint="default"/>
      </w:rPr>
    </w:lvl>
    <w:lvl w:ilvl="7">
      <w:numFmt w:val="bullet"/>
      <w:lvlText w:val="•"/>
      <w:lvlJc w:val="left"/>
      <w:pPr>
        <w:ind w:left="5760" w:hanging="360"/>
      </w:pPr>
      <w:rPr>
        <w:rFonts w:ascii="Times New Roman" w:hAnsi="Times New Roman" w:cs="Times New Roman" w:hint="default"/>
      </w:rPr>
    </w:lvl>
    <w:lvl w:ilvl="8">
      <w:numFmt w:val="bullet"/>
      <w:lvlText w:val="•"/>
      <w:lvlJc w:val="left"/>
      <w:pPr>
        <w:ind w:left="6480" w:hanging="360"/>
      </w:pPr>
      <w:rPr>
        <w:rFonts w:ascii="Times New Roman" w:hAnsi="Times New Roman" w:cs="Times New Roman" w:hint="default"/>
      </w:rPr>
    </w:lvl>
  </w:abstractNum>
  <w:abstractNum w:abstractNumId="11">
    <w:nsid w:val="38875EB3"/>
    <w:multiLevelType w:val="multilevel"/>
    <w:tmpl w:val="3A44C338"/>
    <w:lvl w:ilvl="0">
      <w:start w:val="3"/>
      <w:numFmt w:val="decimal"/>
      <w:lvlText w:val="%1"/>
      <w:lvlJc w:val="left"/>
      <w:pPr>
        <w:ind w:left="720" w:hanging="360"/>
      </w:pPr>
      <w:rPr>
        <w:rFonts w:ascii="Times New Roman" w:hAnsi="Times New Roman" w:cs="Times New Roman" w:hint="default"/>
      </w:rPr>
    </w:lvl>
    <w:lvl w:ilvl="1">
      <w:start w:val="2"/>
      <w:numFmt w:val="decimal"/>
      <w:lvlText w:val="%1.%2"/>
      <w:lvlJc w:val="left"/>
      <w:pPr>
        <w:ind w:left="1440" w:hanging="360"/>
      </w:pPr>
      <w:rPr>
        <w:rFonts w:ascii="Times New Roman" w:hAnsi="Times New Roman" w:cs="Times New Roman" w:hint="default"/>
        <w:b/>
        <w:bCs/>
        <w:i w:val="0"/>
        <w:iCs w:val="0"/>
      </w:rPr>
    </w:lvl>
    <w:lvl w:ilvl="2">
      <w:start w:val="1"/>
      <w:numFmt w:val="decimal"/>
      <w:lvlText w:val="%1.%2.%3"/>
      <w:lvlJc w:val="left"/>
      <w:pPr>
        <w:ind w:left="2160" w:hanging="360"/>
      </w:pPr>
      <w:rPr>
        <w:rFonts w:ascii="Times New Roman" w:hAnsi="Times New Roman" w:cs="Times New Roman" w:hint="default"/>
        <w:b/>
        <w:bCs/>
        <w:i w:val="0"/>
        <w:iCs w:val="0"/>
      </w:rPr>
    </w:lvl>
    <w:lvl w:ilvl="3">
      <w:numFmt w:val="bullet"/>
      <w:lvlText w:val="•"/>
      <w:lvlJc w:val="left"/>
      <w:pPr>
        <w:ind w:left="2880" w:hanging="360"/>
      </w:pPr>
      <w:rPr>
        <w:rFonts w:ascii="Times New Roman" w:hAnsi="Times New Roman" w:cs="Times New Roman" w:hint="default"/>
      </w:rPr>
    </w:lvl>
    <w:lvl w:ilvl="4">
      <w:numFmt w:val="bullet"/>
      <w:lvlText w:val="•"/>
      <w:lvlJc w:val="left"/>
      <w:pPr>
        <w:ind w:left="3600" w:hanging="360"/>
      </w:pPr>
      <w:rPr>
        <w:rFonts w:ascii="Times New Roman" w:hAnsi="Times New Roman" w:cs="Times New Roman" w:hint="default"/>
      </w:rPr>
    </w:lvl>
    <w:lvl w:ilvl="5">
      <w:numFmt w:val="bullet"/>
      <w:lvlText w:val="•"/>
      <w:lvlJc w:val="left"/>
      <w:pPr>
        <w:ind w:left="4320" w:hanging="360"/>
      </w:pPr>
      <w:rPr>
        <w:rFonts w:ascii="Times New Roman" w:hAnsi="Times New Roman" w:cs="Times New Roman" w:hint="default"/>
      </w:rPr>
    </w:lvl>
    <w:lvl w:ilvl="6">
      <w:numFmt w:val="bullet"/>
      <w:lvlText w:val="•"/>
      <w:lvlJc w:val="left"/>
      <w:pPr>
        <w:ind w:left="5040" w:hanging="360"/>
      </w:pPr>
      <w:rPr>
        <w:rFonts w:ascii="Times New Roman" w:hAnsi="Times New Roman" w:cs="Times New Roman" w:hint="default"/>
      </w:rPr>
    </w:lvl>
    <w:lvl w:ilvl="7">
      <w:numFmt w:val="bullet"/>
      <w:lvlText w:val="•"/>
      <w:lvlJc w:val="left"/>
      <w:pPr>
        <w:ind w:left="5760" w:hanging="360"/>
      </w:pPr>
      <w:rPr>
        <w:rFonts w:ascii="Times New Roman" w:hAnsi="Times New Roman" w:cs="Times New Roman" w:hint="default"/>
      </w:rPr>
    </w:lvl>
    <w:lvl w:ilvl="8">
      <w:numFmt w:val="bullet"/>
      <w:lvlText w:val="•"/>
      <w:lvlJc w:val="left"/>
      <w:pPr>
        <w:ind w:left="6480" w:hanging="360"/>
      </w:pPr>
      <w:rPr>
        <w:rFonts w:ascii="Times New Roman" w:hAnsi="Times New Roman" w:cs="Times New Roman" w:hint="default"/>
      </w:rPr>
    </w:lvl>
  </w:abstractNum>
  <w:abstractNum w:abstractNumId="12">
    <w:nsid w:val="391778EB"/>
    <w:multiLevelType w:val="multilevel"/>
    <w:tmpl w:val="59A47D7C"/>
    <w:lvl w:ilvl="0">
      <w:start w:val="1"/>
      <w:numFmt w:val="decimal"/>
      <w:lvlText w:val="%1."/>
      <w:lvlJc w:val="left"/>
      <w:pPr>
        <w:ind w:left="720" w:hanging="360"/>
      </w:pPr>
      <w:rPr>
        <w:rFonts w:ascii="Times New Roman" w:hAnsi="Times New Roman" w:cs="Times New Roman" w:hint="default"/>
        <w:b/>
        <w:bCs/>
        <w:i w:val="0"/>
        <w:iCs w:val="0"/>
      </w:rPr>
    </w:lvl>
    <w:lvl w:ilvl="1">
      <w:start w:val="1"/>
      <w:numFmt w:val="decimal"/>
      <w:lvlText w:val="%2."/>
      <w:lvlJc w:val="left"/>
      <w:pPr>
        <w:ind w:left="1440" w:hanging="360"/>
      </w:pPr>
      <w:rPr>
        <w:rFonts w:ascii="Times New Roman" w:hAnsi="Times New Roman" w:cs="Times New Roman" w:hint="default"/>
      </w:rPr>
    </w:lvl>
    <w:lvl w:ilvl="2">
      <w:numFmt w:val="bullet"/>
      <w:lvlText w:val="•"/>
      <w:lvlJc w:val="left"/>
      <w:pPr>
        <w:ind w:left="2160" w:hanging="360"/>
      </w:pPr>
      <w:rPr>
        <w:rFonts w:ascii="Times New Roman" w:hAnsi="Times New Roman" w:cs="Times New Roman" w:hint="default"/>
      </w:rPr>
    </w:lvl>
    <w:lvl w:ilvl="3">
      <w:numFmt w:val="bullet"/>
      <w:lvlText w:val="•"/>
      <w:lvlJc w:val="left"/>
      <w:pPr>
        <w:ind w:left="2880" w:hanging="360"/>
      </w:pPr>
      <w:rPr>
        <w:rFonts w:ascii="Times New Roman" w:hAnsi="Times New Roman" w:cs="Times New Roman" w:hint="default"/>
      </w:rPr>
    </w:lvl>
    <w:lvl w:ilvl="4">
      <w:numFmt w:val="bullet"/>
      <w:lvlText w:val="•"/>
      <w:lvlJc w:val="left"/>
      <w:pPr>
        <w:ind w:left="3600" w:hanging="360"/>
      </w:pPr>
      <w:rPr>
        <w:rFonts w:ascii="Times New Roman" w:hAnsi="Times New Roman" w:cs="Times New Roman" w:hint="default"/>
      </w:rPr>
    </w:lvl>
    <w:lvl w:ilvl="5">
      <w:numFmt w:val="bullet"/>
      <w:lvlText w:val="•"/>
      <w:lvlJc w:val="left"/>
      <w:pPr>
        <w:ind w:left="4320" w:hanging="360"/>
      </w:pPr>
      <w:rPr>
        <w:rFonts w:ascii="Times New Roman" w:hAnsi="Times New Roman" w:cs="Times New Roman" w:hint="default"/>
      </w:rPr>
    </w:lvl>
    <w:lvl w:ilvl="6">
      <w:numFmt w:val="bullet"/>
      <w:lvlText w:val="•"/>
      <w:lvlJc w:val="left"/>
      <w:pPr>
        <w:ind w:left="5040" w:hanging="360"/>
      </w:pPr>
      <w:rPr>
        <w:rFonts w:ascii="Times New Roman" w:hAnsi="Times New Roman" w:cs="Times New Roman" w:hint="default"/>
      </w:rPr>
    </w:lvl>
    <w:lvl w:ilvl="7">
      <w:numFmt w:val="bullet"/>
      <w:lvlText w:val="•"/>
      <w:lvlJc w:val="left"/>
      <w:pPr>
        <w:ind w:left="5760" w:hanging="360"/>
      </w:pPr>
      <w:rPr>
        <w:rFonts w:ascii="Times New Roman" w:hAnsi="Times New Roman" w:cs="Times New Roman" w:hint="default"/>
      </w:rPr>
    </w:lvl>
    <w:lvl w:ilvl="8">
      <w:numFmt w:val="bullet"/>
      <w:lvlText w:val="•"/>
      <w:lvlJc w:val="left"/>
      <w:pPr>
        <w:ind w:left="6480" w:hanging="360"/>
      </w:pPr>
      <w:rPr>
        <w:rFonts w:ascii="Times New Roman" w:hAnsi="Times New Roman" w:cs="Times New Roman" w:hint="default"/>
      </w:rPr>
    </w:lvl>
  </w:abstractNum>
  <w:abstractNum w:abstractNumId="13">
    <w:nsid w:val="3F1950CC"/>
    <w:multiLevelType w:val="multilevel"/>
    <w:tmpl w:val="F638483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40E43C16"/>
    <w:multiLevelType w:val="multilevel"/>
    <w:tmpl w:val="B9349E04"/>
    <w:lvl w:ilvl="0">
      <w:start w:val="1"/>
      <w:numFmt w:val="decimal"/>
      <w:lvlText w:val="%1."/>
      <w:lvlJc w:val="left"/>
      <w:pPr>
        <w:ind w:left="720" w:hanging="360"/>
      </w:pPr>
      <w:rPr>
        <w:rFonts w:ascii="Times New Roman" w:hAnsi="Times New Roman" w:cs="Times New Roman" w:hint="default"/>
        <w:b/>
        <w:bCs/>
        <w:i w:val="0"/>
        <w:iCs w:val="0"/>
      </w:rPr>
    </w:lvl>
    <w:lvl w:ilvl="1">
      <w:start w:val="1"/>
      <w:numFmt w:val="lowerLetter"/>
      <w:lvlText w:val="%2."/>
      <w:lvlJc w:val="left"/>
      <w:pPr>
        <w:ind w:left="1440" w:hanging="360"/>
      </w:pPr>
      <w:rPr>
        <w:rFonts w:ascii="Times New Roman" w:hAnsi="Times New Roman" w:cs="Times New Roman" w:hint="default"/>
      </w:rPr>
    </w:lvl>
    <w:lvl w:ilvl="2">
      <w:numFmt w:val="bullet"/>
      <w:lvlText w:val="•"/>
      <w:lvlJc w:val="left"/>
      <w:pPr>
        <w:ind w:left="2160" w:hanging="360"/>
      </w:pPr>
      <w:rPr>
        <w:rFonts w:ascii="Times New Roman" w:hAnsi="Times New Roman" w:cs="Times New Roman" w:hint="default"/>
      </w:rPr>
    </w:lvl>
    <w:lvl w:ilvl="3">
      <w:numFmt w:val="bullet"/>
      <w:lvlText w:val="•"/>
      <w:lvlJc w:val="left"/>
      <w:pPr>
        <w:ind w:left="2880" w:hanging="360"/>
      </w:pPr>
      <w:rPr>
        <w:rFonts w:ascii="Times New Roman" w:hAnsi="Times New Roman" w:cs="Times New Roman" w:hint="default"/>
      </w:rPr>
    </w:lvl>
    <w:lvl w:ilvl="4">
      <w:numFmt w:val="bullet"/>
      <w:lvlText w:val="•"/>
      <w:lvlJc w:val="left"/>
      <w:pPr>
        <w:ind w:left="3600" w:hanging="360"/>
      </w:pPr>
      <w:rPr>
        <w:rFonts w:ascii="Times New Roman" w:hAnsi="Times New Roman" w:cs="Times New Roman" w:hint="default"/>
      </w:rPr>
    </w:lvl>
    <w:lvl w:ilvl="5">
      <w:numFmt w:val="bullet"/>
      <w:lvlText w:val="•"/>
      <w:lvlJc w:val="left"/>
      <w:pPr>
        <w:ind w:left="4320" w:hanging="360"/>
      </w:pPr>
      <w:rPr>
        <w:rFonts w:ascii="Times New Roman" w:hAnsi="Times New Roman" w:cs="Times New Roman" w:hint="default"/>
      </w:rPr>
    </w:lvl>
    <w:lvl w:ilvl="6">
      <w:numFmt w:val="bullet"/>
      <w:lvlText w:val="•"/>
      <w:lvlJc w:val="left"/>
      <w:pPr>
        <w:ind w:left="5040" w:hanging="360"/>
      </w:pPr>
      <w:rPr>
        <w:rFonts w:ascii="Times New Roman" w:hAnsi="Times New Roman" w:cs="Times New Roman" w:hint="default"/>
      </w:rPr>
    </w:lvl>
    <w:lvl w:ilvl="7">
      <w:numFmt w:val="bullet"/>
      <w:lvlText w:val="•"/>
      <w:lvlJc w:val="left"/>
      <w:pPr>
        <w:ind w:left="5760" w:hanging="360"/>
      </w:pPr>
      <w:rPr>
        <w:rFonts w:ascii="Times New Roman" w:hAnsi="Times New Roman" w:cs="Times New Roman" w:hint="default"/>
      </w:rPr>
    </w:lvl>
    <w:lvl w:ilvl="8">
      <w:numFmt w:val="bullet"/>
      <w:lvlText w:val="•"/>
      <w:lvlJc w:val="left"/>
      <w:pPr>
        <w:ind w:left="6480" w:hanging="360"/>
      </w:pPr>
      <w:rPr>
        <w:rFonts w:ascii="Times New Roman" w:hAnsi="Times New Roman" w:cs="Times New Roman" w:hint="default"/>
      </w:rPr>
    </w:lvl>
  </w:abstractNum>
  <w:abstractNum w:abstractNumId="15">
    <w:nsid w:val="41161F20"/>
    <w:multiLevelType w:val="multilevel"/>
    <w:tmpl w:val="9CCA6B66"/>
    <w:lvl w:ilvl="0">
      <w:start w:val="1"/>
      <w:numFmt w:val="decimal"/>
      <w:lvlText w:val="%1."/>
      <w:lvlJc w:val="left"/>
      <w:pPr>
        <w:ind w:left="720" w:hanging="360"/>
      </w:pPr>
      <w:rPr>
        <w:rFonts w:ascii="Times New Roman" w:hAnsi="Times New Roman" w:cs="Times New Roman" w:hint="default"/>
        <w:b w:val="0"/>
        <w:bCs w:val="0"/>
        <w:i w:val="0"/>
        <w:iCs w:val="0"/>
      </w:rPr>
    </w:lvl>
    <w:lvl w:ilvl="1">
      <w:start w:val="1"/>
      <w:numFmt w:val="decimal"/>
      <w:lvlText w:val="%1.%2"/>
      <w:lvlJc w:val="left"/>
      <w:pPr>
        <w:ind w:left="1440" w:hanging="360"/>
      </w:pPr>
      <w:rPr>
        <w:rFonts w:ascii="Times New Roman" w:hAnsi="Times New Roman" w:cs="Times New Roman" w:hint="default"/>
        <w:b/>
        <w:bCs/>
        <w:i w:val="0"/>
        <w:iCs w:val="0"/>
      </w:rPr>
    </w:lvl>
    <w:lvl w:ilvl="2">
      <w:start w:val="1"/>
      <w:numFmt w:val="decimal"/>
      <w:lvlText w:val="%3."/>
      <w:lvlJc w:val="left"/>
      <w:pPr>
        <w:ind w:left="2160" w:hanging="360"/>
      </w:pPr>
      <w:rPr>
        <w:rFonts w:ascii="Times New Roman" w:hAnsi="Times New Roman" w:cs="Times New Roman" w:hint="default"/>
        <w:b w:val="0"/>
        <w:bCs w:val="0"/>
        <w:i w:val="0"/>
        <w:iCs w:val="0"/>
      </w:rPr>
    </w:lvl>
    <w:lvl w:ilvl="3">
      <w:numFmt w:val="bullet"/>
      <w:lvlText w:val="•"/>
      <w:lvlJc w:val="left"/>
      <w:pPr>
        <w:ind w:left="2880" w:hanging="360"/>
      </w:pPr>
      <w:rPr>
        <w:rFonts w:ascii="Times New Roman" w:hAnsi="Times New Roman" w:cs="Times New Roman" w:hint="default"/>
      </w:rPr>
    </w:lvl>
    <w:lvl w:ilvl="4">
      <w:numFmt w:val="bullet"/>
      <w:lvlText w:val="•"/>
      <w:lvlJc w:val="left"/>
      <w:pPr>
        <w:ind w:left="3600" w:hanging="360"/>
      </w:pPr>
      <w:rPr>
        <w:rFonts w:ascii="Times New Roman" w:hAnsi="Times New Roman" w:cs="Times New Roman" w:hint="default"/>
      </w:rPr>
    </w:lvl>
    <w:lvl w:ilvl="5">
      <w:numFmt w:val="bullet"/>
      <w:lvlText w:val="•"/>
      <w:lvlJc w:val="left"/>
      <w:pPr>
        <w:ind w:left="4320" w:hanging="360"/>
      </w:pPr>
      <w:rPr>
        <w:rFonts w:ascii="Times New Roman" w:hAnsi="Times New Roman" w:cs="Times New Roman" w:hint="default"/>
      </w:rPr>
    </w:lvl>
    <w:lvl w:ilvl="6">
      <w:numFmt w:val="bullet"/>
      <w:lvlText w:val="•"/>
      <w:lvlJc w:val="left"/>
      <w:pPr>
        <w:ind w:left="5040" w:hanging="360"/>
      </w:pPr>
      <w:rPr>
        <w:rFonts w:ascii="Times New Roman" w:hAnsi="Times New Roman" w:cs="Times New Roman" w:hint="default"/>
      </w:rPr>
    </w:lvl>
    <w:lvl w:ilvl="7">
      <w:numFmt w:val="bullet"/>
      <w:lvlText w:val="•"/>
      <w:lvlJc w:val="left"/>
      <w:pPr>
        <w:ind w:left="5760" w:hanging="360"/>
      </w:pPr>
      <w:rPr>
        <w:rFonts w:ascii="Times New Roman" w:hAnsi="Times New Roman" w:cs="Times New Roman" w:hint="default"/>
      </w:rPr>
    </w:lvl>
    <w:lvl w:ilvl="8">
      <w:numFmt w:val="bullet"/>
      <w:lvlText w:val="•"/>
      <w:lvlJc w:val="left"/>
      <w:pPr>
        <w:ind w:left="6480" w:hanging="360"/>
      </w:pPr>
      <w:rPr>
        <w:rFonts w:ascii="Times New Roman" w:hAnsi="Times New Roman" w:cs="Times New Roman" w:hint="default"/>
      </w:rPr>
    </w:lvl>
  </w:abstractNum>
  <w:abstractNum w:abstractNumId="16">
    <w:nsid w:val="58835971"/>
    <w:multiLevelType w:val="multilevel"/>
    <w:tmpl w:val="3A44C338"/>
    <w:lvl w:ilvl="0">
      <w:start w:val="3"/>
      <w:numFmt w:val="decimal"/>
      <w:lvlText w:val="%1"/>
      <w:lvlJc w:val="left"/>
      <w:pPr>
        <w:ind w:left="720" w:hanging="360"/>
      </w:pPr>
      <w:rPr>
        <w:rFonts w:ascii="Times New Roman" w:hAnsi="Times New Roman" w:cs="Times New Roman" w:hint="default"/>
      </w:rPr>
    </w:lvl>
    <w:lvl w:ilvl="1">
      <w:start w:val="2"/>
      <w:numFmt w:val="decimal"/>
      <w:lvlText w:val="%1.%2"/>
      <w:lvlJc w:val="left"/>
      <w:pPr>
        <w:ind w:left="1440" w:hanging="360"/>
      </w:pPr>
      <w:rPr>
        <w:rFonts w:ascii="Times New Roman" w:hAnsi="Times New Roman" w:cs="Times New Roman" w:hint="default"/>
        <w:b/>
        <w:bCs/>
        <w:i w:val="0"/>
        <w:iCs w:val="0"/>
      </w:rPr>
    </w:lvl>
    <w:lvl w:ilvl="2">
      <w:start w:val="1"/>
      <w:numFmt w:val="decimal"/>
      <w:lvlText w:val="%1.%2.%3"/>
      <w:lvlJc w:val="left"/>
      <w:pPr>
        <w:ind w:left="2160" w:hanging="360"/>
      </w:pPr>
      <w:rPr>
        <w:rFonts w:ascii="Times New Roman" w:hAnsi="Times New Roman" w:cs="Times New Roman" w:hint="default"/>
        <w:b/>
        <w:bCs/>
        <w:i w:val="0"/>
        <w:iCs w:val="0"/>
      </w:rPr>
    </w:lvl>
    <w:lvl w:ilvl="3">
      <w:numFmt w:val="bullet"/>
      <w:lvlText w:val="•"/>
      <w:lvlJc w:val="left"/>
      <w:pPr>
        <w:ind w:left="2880" w:hanging="360"/>
      </w:pPr>
      <w:rPr>
        <w:rFonts w:ascii="Times New Roman" w:hAnsi="Times New Roman" w:cs="Times New Roman" w:hint="default"/>
      </w:rPr>
    </w:lvl>
    <w:lvl w:ilvl="4">
      <w:numFmt w:val="bullet"/>
      <w:lvlText w:val="•"/>
      <w:lvlJc w:val="left"/>
      <w:pPr>
        <w:ind w:left="3600" w:hanging="360"/>
      </w:pPr>
      <w:rPr>
        <w:rFonts w:ascii="Times New Roman" w:hAnsi="Times New Roman" w:cs="Times New Roman" w:hint="default"/>
      </w:rPr>
    </w:lvl>
    <w:lvl w:ilvl="5">
      <w:numFmt w:val="bullet"/>
      <w:lvlText w:val="•"/>
      <w:lvlJc w:val="left"/>
      <w:pPr>
        <w:ind w:left="4320" w:hanging="360"/>
      </w:pPr>
      <w:rPr>
        <w:rFonts w:ascii="Times New Roman" w:hAnsi="Times New Roman" w:cs="Times New Roman" w:hint="default"/>
      </w:rPr>
    </w:lvl>
    <w:lvl w:ilvl="6">
      <w:numFmt w:val="bullet"/>
      <w:lvlText w:val="•"/>
      <w:lvlJc w:val="left"/>
      <w:pPr>
        <w:ind w:left="5040" w:hanging="360"/>
      </w:pPr>
      <w:rPr>
        <w:rFonts w:ascii="Times New Roman" w:hAnsi="Times New Roman" w:cs="Times New Roman" w:hint="default"/>
      </w:rPr>
    </w:lvl>
    <w:lvl w:ilvl="7">
      <w:numFmt w:val="bullet"/>
      <w:lvlText w:val="•"/>
      <w:lvlJc w:val="left"/>
      <w:pPr>
        <w:ind w:left="5760" w:hanging="360"/>
      </w:pPr>
      <w:rPr>
        <w:rFonts w:ascii="Times New Roman" w:hAnsi="Times New Roman" w:cs="Times New Roman" w:hint="default"/>
      </w:rPr>
    </w:lvl>
    <w:lvl w:ilvl="8">
      <w:numFmt w:val="bullet"/>
      <w:lvlText w:val="•"/>
      <w:lvlJc w:val="left"/>
      <w:pPr>
        <w:ind w:left="6480" w:hanging="360"/>
      </w:pPr>
      <w:rPr>
        <w:rFonts w:ascii="Times New Roman" w:hAnsi="Times New Roman" w:cs="Times New Roman" w:hint="default"/>
      </w:rPr>
    </w:lvl>
  </w:abstractNum>
  <w:abstractNum w:abstractNumId="17">
    <w:nsid w:val="5E6B02EB"/>
    <w:multiLevelType w:val="multilevel"/>
    <w:tmpl w:val="61880C84"/>
    <w:lvl w:ilvl="0">
      <w:start w:val="1"/>
      <w:numFmt w:val="decimal"/>
      <w:lvlText w:val="%1"/>
      <w:lvlJc w:val="left"/>
      <w:pPr>
        <w:ind w:left="720" w:hanging="360"/>
      </w:pPr>
      <w:rPr>
        <w:rFonts w:ascii="Times New Roman" w:hAnsi="Times New Roman" w:cs="Times New Roman" w:hint="default"/>
      </w:rPr>
    </w:lvl>
    <w:lvl w:ilvl="1">
      <w:start w:val="1"/>
      <w:numFmt w:val="decimal"/>
      <w:lvlText w:val="%1.%2."/>
      <w:lvlJc w:val="left"/>
      <w:pPr>
        <w:ind w:left="1440" w:hanging="360"/>
      </w:pPr>
      <w:rPr>
        <w:rFonts w:ascii="Times New Roman" w:hAnsi="Times New Roman" w:cs="Times New Roman" w:hint="default"/>
        <w:b/>
        <w:bCs/>
        <w:i w:val="0"/>
        <w:iCs w:val="0"/>
      </w:rPr>
    </w:lvl>
    <w:lvl w:ilvl="2">
      <w:start w:val="1"/>
      <w:numFmt w:val="decimal"/>
      <w:lvlText w:val="%1.%2.%3"/>
      <w:lvlJc w:val="left"/>
      <w:pPr>
        <w:ind w:left="2160" w:hanging="360"/>
      </w:pPr>
      <w:rPr>
        <w:rFonts w:ascii="Times New Roman" w:hAnsi="Times New Roman" w:cs="Times New Roman" w:hint="default"/>
        <w:b/>
        <w:bCs/>
        <w:i w:val="0"/>
        <w:iCs w:val="0"/>
      </w:rPr>
    </w:lvl>
    <w:lvl w:ilvl="3">
      <w:numFmt w:val="bullet"/>
      <w:lvlText w:val="•"/>
      <w:lvlJc w:val="left"/>
      <w:pPr>
        <w:ind w:left="2880" w:hanging="360"/>
      </w:pPr>
      <w:rPr>
        <w:rFonts w:ascii="Times New Roman" w:hAnsi="Times New Roman" w:cs="Times New Roman" w:hint="default"/>
      </w:rPr>
    </w:lvl>
    <w:lvl w:ilvl="4">
      <w:numFmt w:val="bullet"/>
      <w:lvlText w:val="•"/>
      <w:lvlJc w:val="left"/>
      <w:pPr>
        <w:ind w:left="3600" w:hanging="360"/>
      </w:pPr>
      <w:rPr>
        <w:rFonts w:ascii="Times New Roman" w:hAnsi="Times New Roman" w:cs="Times New Roman" w:hint="default"/>
      </w:rPr>
    </w:lvl>
    <w:lvl w:ilvl="5">
      <w:numFmt w:val="bullet"/>
      <w:lvlText w:val="•"/>
      <w:lvlJc w:val="left"/>
      <w:pPr>
        <w:ind w:left="4320" w:hanging="360"/>
      </w:pPr>
      <w:rPr>
        <w:rFonts w:ascii="Times New Roman" w:hAnsi="Times New Roman" w:cs="Times New Roman" w:hint="default"/>
      </w:rPr>
    </w:lvl>
    <w:lvl w:ilvl="6">
      <w:numFmt w:val="bullet"/>
      <w:lvlText w:val="•"/>
      <w:lvlJc w:val="left"/>
      <w:pPr>
        <w:ind w:left="5040" w:hanging="360"/>
      </w:pPr>
      <w:rPr>
        <w:rFonts w:ascii="Times New Roman" w:hAnsi="Times New Roman" w:cs="Times New Roman" w:hint="default"/>
      </w:rPr>
    </w:lvl>
    <w:lvl w:ilvl="7">
      <w:numFmt w:val="bullet"/>
      <w:lvlText w:val="•"/>
      <w:lvlJc w:val="left"/>
      <w:pPr>
        <w:ind w:left="5760" w:hanging="360"/>
      </w:pPr>
      <w:rPr>
        <w:rFonts w:ascii="Times New Roman" w:hAnsi="Times New Roman" w:cs="Times New Roman" w:hint="default"/>
      </w:rPr>
    </w:lvl>
    <w:lvl w:ilvl="8">
      <w:numFmt w:val="bullet"/>
      <w:lvlText w:val="•"/>
      <w:lvlJc w:val="left"/>
      <w:pPr>
        <w:ind w:left="6480" w:hanging="360"/>
      </w:pPr>
      <w:rPr>
        <w:rFonts w:ascii="Times New Roman" w:hAnsi="Times New Roman" w:cs="Times New Roman" w:hint="default"/>
      </w:rPr>
    </w:lvl>
  </w:abstractNum>
  <w:abstractNum w:abstractNumId="18">
    <w:nsid w:val="6CAD7060"/>
    <w:multiLevelType w:val="hybridMultilevel"/>
    <w:tmpl w:val="9FBC6AB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7A05650D"/>
    <w:multiLevelType w:val="multilevel"/>
    <w:tmpl w:val="C0F4C86A"/>
    <w:lvl w:ilvl="0">
      <w:start w:val="1"/>
      <w:numFmt w:val="decimal"/>
      <w:lvlText w:val="%1"/>
      <w:lvlJc w:val="left"/>
      <w:pPr>
        <w:ind w:left="720" w:hanging="360"/>
      </w:pPr>
      <w:rPr>
        <w:rFonts w:ascii="Times New Roman" w:hAnsi="Times New Roman" w:cs="Times New Roman" w:hint="default"/>
      </w:rPr>
    </w:lvl>
    <w:lvl w:ilvl="1">
      <w:start w:val="1"/>
      <w:numFmt w:val="decimal"/>
      <w:lvlText w:val="%1.%2."/>
      <w:lvlJc w:val="left"/>
      <w:pPr>
        <w:ind w:left="1440" w:hanging="360"/>
      </w:pPr>
      <w:rPr>
        <w:rFonts w:ascii="Times New Roman" w:hAnsi="Times New Roman" w:cs="Times New Roman" w:hint="default"/>
        <w:b/>
        <w:bCs/>
        <w:i w:val="0"/>
        <w:iCs w:val="0"/>
      </w:rPr>
    </w:lvl>
    <w:lvl w:ilvl="2">
      <w:start w:val="1"/>
      <w:numFmt w:val="decimal"/>
      <w:lvlText w:val="%1.%2.%3"/>
      <w:lvlJc w:val="left"/>
      <w:pPr>
        <w:ind w:left="2160" w:hanging="360"/>
      </w:pPr>
      <w:rPr>
        <w:rFonts w:ascii="Times New Roman" w:hAnsi="Times New Roman" w:cs="Times New Roman" w:hint="default"/>
        <w:b/>
        <w:bCs/>
        <w:i w:val="0"/>
        <w:iCs w:val="0"/>
      </w:rPr>
    </w:lvl>
    <w:lvl w:ilvl="3">
      <w:numFmt w:val="bullet"/>
      <w:lvlText w:val="•"/>
      <w:lvlJc w:val="left"/>
      <w:pPr>
        <w:ind w:left="2880" w:hanging="360"/>
      </w:pPr>
      <w:rPr>
        <w:rFonts w:ascii="Times New Roman" w:hAnsi="Times New Roman" w:cs="Times New Roman" w:hint="default"/>
      </w:rPr>
    </w:lvl>
    <w:lvl w:ilvl="4">
      <w:numFmt w:val="bullet"/>
      <w:lvlText w:val="•"/>
      <w:lvlJc w:val="left"/>
      <w:pPr>
        <w:ind w:left="3600" w:hanging="360"/>
      </w:pPr>
      <w:rPr>
        <w:rFonts w:ascii="Times New Roman" w:hAnsi="Times New Roman" w:cs="Times New Roman" w:hint="default"/>
      </w:rPr>
    </w:lvl>
    <w:lvl w:ilvl="5">
      <w:numFmt w:val="bullet"/>
      <w:lvlText w:val="•"/>
      <w:lvlJc w:val="left"/>
      <w:pPr>
        <w:ind w:left="4320" w:hanging="360"/>
      </w:pPr>
      <w:rPr>
        <w:rFonts w:ascii="Times New Roman" w:hAnsi="Times New Roman" w:cs="Times New Roman" w:hint="default"/>
      </w:rPr>
    </w:lvl>
    <w:lvl w:ilvl="6">
      <w:numFmt w:val="bullet"/>
      <w:lvlText w:val="•"/>
      <w:lvlJc w:val="left"/>
      <w:pPr>
        <w:ind w:left="5040" w:hanging="360"/>
      </w:pPr>
      <w:rPr>
        <w:rFonts w:ascii="Times New Roman" w:hAnsi="Times New Roman" w:cs="Times New Roman" w:hint="default"/>
      </w:rPr>
    </w:lvl>
    <w:lvl w:ilvl="7">
      <w:numFmt w:val="bullet"/>
      <w:lvlText w:val="•"/>
      <w:lvlJc w:val="left"/>
      <w:pPr>
        <w:ind w:left="5760" w:hanging="360"/>
      </w:pPr>
      <w:rPr>
        <w:rFonts w:ascii="Times New Roman" w:hAnsi="Times New Roman" w:cs="Times New Roman" w:hint="default"/>
      </w:rPr>
    </w:lvl>
    <w:lvl w:ilvl="8">
      <w:numFmt w:val="bullet"/>
      <w:lvlText w:val="•"/>
      <w:lvlJc w:val="left"/>
      <w:pPr>
        <w:ind w:left="6480" w:hanging="360"/>
      </w:pPr>
      <w:rPr>
        <w:rFonts w:ascii="Times New Roman" w:hAnsi="Times New Roman" w:cs="Times New Roman" w:hint="default"/>
      </w:rPr>
    </w:lvl>
  </w:abstractNum>
  <w:abstractNum w:abstractNumId="20">
    <w:nsid w:val="7C325C4B"/>
    <w:multiLevelType w:val="multilevel"/>
    <w:tmpl w:val="EDF21D0A"/>
    <w:lvl w:ilvl="0">
      <w:start w:val="2"/>
      <w:numFmt w:val="decimal"/>
      <w:lvlText w:val="%1"/>
      <w:lvlJc w:val="left"/>
      <w:pPr>
        <w:ind w:left="720" w:hanging="360"/>
      </w:pPr>
      <w:rPr>
        <w:rFonts w:ascii="Times New Roman" w:hAnsi="Times New Roman" w:cs="Times New Roman" w:hint="default"/>
      </w:rPr>
    </w:lvl>
    <w:lvl w:ilvl="1">
      <w:start w:val="1"/>
      <w:numFmt w:val="decimal"/>
      <w:lvlText w:val="%1.%2"/>
      <w:lvlJc w:val="left"/>
      <w:pPr>
        <w:ind w:left="1070" w:hanging="360"/>
      </w:pPr>
      <w:rPr>
        <w:rFonts w:ascii="Times New Roman" w:hAnsi="Times New Roman" w:cs="Times New Roman" w:hint="default"/>
        <w:b/>
        <w:bCs/>
        <w:i w:val="0"/>
        <w:iCs w:val="0"/>
      </w:rPr>
    </w:lvl>
    <w:lvl w:ilvl="2">
      <w:start w:val="1"/>
      <w:numFmt w:val="decimal"/>
      <w:lvlText w:val="%1.%2.%3"/>
      <w:lvlJc w:val="left"/>
      <w:pPr>
        <w:ind w:left="2160" w:hanging="360"/>
      </w:pPr>
      <w:rPr>
        <w:rFonts w:ascii="Times New Roman" w:hAnsi="Times New Roman" w:cs="Times New Roman" w:hint="default"/>
        <w:b/>
        <w:bCs/>
        <w:i w:val="0"/>
        <w:iCs w:val="0"/>
      </w:rPr>
    </w:lvl>
    <w:lvl w:ilvl="3">
      <w:numFmt w:val="bullet"/>
      <w:lvlText w:val="•"/>
      <w:lvlJc w:val="left"/>
      <w:pPr>
        <w:ind w:left="2880" w:hanging="360"/>
      </w:pPr>
      <w:rPr>
        <w:rFonts w:ascii="Times New Roman" w:hAnsi="Times New Roman" w:cs="Times New Roman" w:hint="default"/>
      </w:rPr>
    </w:lvl>
    <w:lvl w:ilvl="4">
      <w:numFmt w:val="bullet"/>
      <w:lvlText w:val="•"/>
      <w:lvlJc w:val="left"/>
      <w:pPr>
        <w:ind w:left="3600" w:hanging="360"/>
      </w:pPr>
      <w:rPr>
        <w:rFonts w:ascii="Times New Roman" w:hAnsi="Times New Roman" w:cs="Times New Roman" w:hint="default"/>
      </w:rPr>
    </w:lvl>
    <w:lvl w:ilvl="5">
      <w:numFmt w:val="bullet"/>
      <w:lvlText w:val="•"/>
      <w:lvlJc w:val="left"/>
      <w:pPr>
        <w:ind w:left="4320" w:hanging="360"/>
      </w:pPr>
      <w:rPr>
        <w:rFonts w:ascii="Times New Roman" w:hAnsi="Times New Roman" w:cs="Times New Roman" w:hint="default"/>
      </w:rPr>
    </w:lvl>
    <w:lvl w:ilvl="6">
      <w:numFmt w:val="bullet"/>
      <w:lvlText w:val="•"/>
      <w:lvlJc w:val="left"/>
      <w:pPr>
        <w:ind w:left="5040" w:hanging="360"/>
      </w:pPr>
      <w:rPr>
        <w:rFonts w:ascii="Times New Roman" w:hAnsi="Times New Roman" w:cs="Times New Roman" w:hint="default"/>
      </w:rPr>
    </w:lvl>
    <w:lvl w:ilvl="7">
      <w:numFmt w:val="bullet"/>
      <w:lvlText w:val="•"/>
      <w:lvlJc w:val="left"/>
      <w:pPr>
        <w:ind w:left="5760" w:hanging="360"/>
      </w:pPr>
      <w:rPr>
        <w:rFonts w:ascii="Times New Roman" w:hAnsi="Times New Roman" w:cs="Times New Roman" w:hint="default"/>
      </w:rPr>
    </w:lvl>
    <w:lvl w:ilvl="8">
      <w:numFmt w:val="bullet"/>
      <w:lvlText w:val="•"/>
      <w:lvlJc w:val="left"/>
      <w:pPr>
        <w:ind w:left="6480" w:hanging="360"/>
      </w:pPr>
      <w:rPr>
        <w:rFonts w:ascii="Times New Roman" w:hAnsi="Times New Roman" w:cs="Times New Roman" w:hint="default"/>
      </w:rPr>
    </w:lvl>
  </w:abstractNum>
  <w:abstractNum w:abstractNumId="21">
    <w:nsid w:val="7E3F7FB0"/>
    <w:multiLevelType w:val="multilevel"/>
    <w:tmpl w:val="D292D3AC"/>
    <w:lvl w:ilvl="0">
      <w:start w:val="1"/>
      <w:numFmt w:val="decimal"/>
      <w:lvlText w:val="%1"/>
      <w:lvlJc w:val="left"/>
      <w:pPr>
        <w:ind w:left="720" w:hanging="360"/>
      </w:pPr>
      <w:rPr>
        <w:rFonts w:ascii="Times New Roman" w:hAnsi="Times New Roman" w:cs="Times New Roman" w:hint="default"/>
      </w:rPr>
    </w:lvl>
    <w:lvl w:ilvl="1">
      <w:start w:val="1"/>
      <w:numFmt w:val="decimal"/>
      <w:lvlText w:val="%1.%2."/>
      <w:lvlJc w:val="left"/>
      <w:pPr>
        <w:ind w:left="1440" w:hanging="360"/>
      </w:pPr>
      <w:rPr>
        <w:rFonts w:ascii="Times New Roman" w:hAnsi="Times New Roman" w:cs="Times New Roman" w:hint="default"/>
        <w:b/>
        <w:bCs/>
        <w:i w:val="0"/>
        <w:iCs w:val="0"/>
      </w:rPr>
    </w:lvl>
    <w:lvl w:ilvl="2">
      <w:start w:val="1"/>
      <w:numFmt w:val="decimal"/>
      <w:lvlText w:val="%1.%2.%3"/>
      <w:lvlJc w:val="left"/>
      <w:pPr>
        <w:ind w:left="2160" w:hanging="360"/>
      </w:pPr>
      <w:rPr>
        <w:rFonts w:ascii="Times New Roman" w:hAnsi="Times New Roman" w:cs="Times New Roman" w:hint="default"/>
        <w:b/>
        <w:bCs/>
        <w:i w:val="0"/>
        <w:iCs w:val="0"/>
      </w:rPr>
    </w:lvl>
    <w:lvl w:ilvl="3">
      <w:numFmt w:val="bullet"/>
      <w:lvlText w:val="•"/>
      <w:lvlJc w:val="left"/>
      <w:pPr>
        <w:ind w:left="2880" w:hanging="360"/>
      </w:pPr>
      <w:rPr>
        <w:rFonts w:ascii="Times New Roman" w:hAnsi="Times New Roman" w:cs="Times New Roman" w:hint="default"/>
      </w:rPr>
    </w:lvl>
    <w:lvl w:ilvl="4">
      <w:numFmt w:val="bullet"/>
      <w:lvlText w:val="•"/>
      <w:lvlJc w:val="left"/>
      <w:pPr>
        <w:ind w:left="3600" w:hanging="360"/>
      </w:pPr>
      <w:rPr>
        <w:rFonts w:ascii="Times New Roman" w:hAnsi="Times New Roman" w:cs="Times New Roman" w:hint="default"/>
      </w:rPr>
    </w:lvl>
    <w:lvl w:ilvl="5">
      <w:numFmt w:val="bullet"/>
      <w:lvlText w:val="•"/>
      <w:lvlJc w:val="left"/>
      <w:pPr>
        <w:ind w:left="4320" w:hanging="360"/>
      </w:pPr>
      <w:rPr>
        <w:rFonts w:ascii="Times New Roman" w:hAnsi="Times New Roman" w:cs="Times New Roman" w:hint="default"/>
      </w:rPr>
    </w:lvl>
    <w:lvl w:ilvl="6">
      <w:numFmt w:val="bullet"/>
      <w:lvlText w:val="•"/>
      <w:lvlJc w:val="left"/>
      <w:pPr>
        <w:ind w:left="5040" w:hanging="360"/>
      </w:pPr>
      <w:rPr>
        <w:rFonts w:ascii="Times New Roman" w:hAnsi="Times New Roman" w:cs="Times New Roman" w:hint="default"/>
      </w:rPr>
    </w:lvl>
    <w:lvl w:ilvl="7">
      <w:numFmt w:val="bullet"/>
      <w:lvlText w:val="•"/>
      <w:lvlJc w:val="left"/>
      <w:pPr>
        <w:ind w:left="5760" w:hanging="360"/>
      </w:pPr>
      <w:rPr>
        <w:rFonts w:ascii="Times New Roman" w:hAnsi="Times New Roman" w:cs="Times New Roman" w:hint="default"/>
      </w:rPr>
    </w:lvl>
    <w:lvl w:ilvl="8">
      <w:numFmt w:val="bullet"/>
      <w:lvlText w:val="•"/>
      <w:lvlJc w:val="left"/>
      <w:pPr>
        <w:ind w:left="6480" w:hanging="360"/>
      </w:pPr>
      <w:rPr>
        <w:rFonts w:ascii="Times New Roman" w:hAnsi="Times New Roman" w:cs="Times New Roman" w:hint="default"/>
      </w:rPr>
    </w:lvl>
  </w:abstractNum>
  <w:num w:numId="1">
    <w:abstractNumId w:val="13"/>
  </w:num>
  <w:num w:numId="2">
    <w:abstractNumId w:val="2"/>
  </w:num>
  <w:num w:numId="3">
    <w:abstractNumId w:val="0"/>
  </w:num>
  <w:num w:numId="4">
    <w:abstractNumId w:val="1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5">
    <w:abstractNumId w:val="10"/>
    <w:lvlOverride w:ilvl="0">
      <w:startOverride w:val="1"/>
    </w:lvlOverride>
    <w:lvlOverride w:ilvl="1"/>
    <w:lvlOverride w:ilvl="2"/>
    <w:lvlOverride w:ilvl="3"/>
    <w:lvlOverride w:ilvl="4"/>
    <w:lvlOverride w:ilvl="5"/>
    <w:lvlOverride w:ilvl="6"/>
    <w:lvlOverride w:ilvl="7"/>
    <w:lvlOverride w:ilvl="8"/>
  </w:num>
  <w:num w:numId="6">
    <w:abstractNumId w:val="19"/>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7">
    <w:abstractNumId w:val="8"/>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
    <w:abstractNumId w:val="2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9">
    <w:abstractNumId w:val="20"/>
  </w:num>
  <w:num w:numId="10">
    <w:abstractNumId w:val="20"/>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11">
    <w:abstractNumId w:val="12"/>
  </w:num>
  <w:num w:numId="12">
    <w:abstractNumId w:val="12"/>
    <w:lvlOverride w:ilvl="0">
      <w:startOverride w:val="1"/>
    </w:lvlOverride>
    <w:lvlOverride w:ilvl="1">
      <w:startOverride w:val="1"/>
    </w:lvlOverride>
    <w:lvlOverride w:ilvl="2"/>
    <w:lvlOverride w:ilvl="3"/>
    <w:lvlOverride w:ilvl="4"/>
    <w:lvlOverride w:ilvl="5"/>
    <w:lvlOverride w:ilvl="6"/>
    <w:lvlOverride w:ilvl="7"/>
    <w:lvlOverride w:ilvl="8"/>
  </w:num>
  <w:num w:numId="13">
    <w:abstractNumId w:val="14"/>
  </w:num>
  <w:num w:numId="14">
    <w:abstractNumId w:val="14"/>
    <w:lvlOverride w:ilvl="0">
      <w:startOverride w:val="1"/>
    </w:lvlOverride>
    <w:lvlOverride w:ilvl="1">
      <w:startOverride w:val="1"/>
    </w:lvlOverride>
    <w:lvlOverride w:ilvl="2"/>
    <w:lvlOverride w:ilvl="3"/>
    <w:lvlOverride w:ilvl="4"/>
    <w:lvlOverride w:ilvl="5"/>
    <w:lvlOverride w:ilvl="6"/>
    <w:lvlOverride w:ilvl="7"/>
    <w:lvlOverride w:ilvl="8"/>
  </w:num>
  <w:num w:numId="15">
    <w:abstractNumId w:val="7"/>
  </w:num>
  <w:num w:numId="16">
    <w:abstractNumId w:val="16"/>
  </w:num>
  <w:num w:numId="17">
    <w:abstractNumId w:val="16"/>
    <w:lvlOverride w:ilvl="0">
      <w:startOverride w:val="3"/>
    </w:lvlOverride>
    <w:lvlOverride w:ilvl="1">
      <w:startOverride w:val="2"/>
    </w:lvlOverride>
    <w:lvlOverride w:ilvl="2">
      <w:startOverride w:val="1"/>
    </w:lvlOverride>
    <w:lvlOverride w:ilvl="3"/>
    <w:lvlOverride w:ilvl="4"/>
    <w:lvlOverride w:ilvl="5"/>
    <w:lvlOverride w:ilvl="6"/>
    <w:lvlOverride w:ilvl="7"/>
    <w:lvlOverride w:ilvl="8"/>
  </w:num>
  <w:num w:numId="18">
    <w:abstractNumId w:val="9"/>
  </w:num>
  <w:num w:numId="19">
    <w:abstractNumId w:val="9"/>
    <w:lvlOverride w:ilvl="0">
      <w:startOverride w:val="1"/>
    </w:lvlOverride>
    <w:lvlOverride w:ilvl="1"/>
    <w:lvlOverride w:ilvl="2"/>
    <w:lvlOverride w:ilvl="3"/>
    <w:lvlOverride w:ilvl="4"/>
    <w:lvlOverride w:ilvl="5"/>
    <w:lvlOverride w:ilvl="6"/>
    <w:lvlOverride w:ilvl="7"/>
    <w:lvlOverride w:ilvl="8"/>
  </w:num>
  <w:num w:numId="20">
    <w:abstractNumId w:val="15"/>
  </w:num>
  <w:num w:numId="21">
    <w:abstractNumId w:val="1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2">
    <w:abstractNumId w:val="6"/>
  </w:num>
  <w:num w:numId="23">
    <w:abstractNumId w:val="11"/>
  </w:num>
  <w:num w:numId="24">
    <w:abstractNumId w:val="5"/>
  </w:num>
  <w:num w:numId="25">
    <w:abstractNumId w:val="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6">
    <w:abstractNumId w:val="18"/>
  </w:num>
  <w:num w:numId="27">
    <w:abstractNumId w:val="4"/>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defaultTabStop w:val="720"/>
  <w:evenAndOddHeaders/>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BA3"/>
    <w:rsid w:val="000B404F"/>
    <w:rsid w:val="000D4978"/>
    <w:rsid w:val="002C021E"/>
    <w:rsid w:val="00403C52"/>
    <w:rsid w:val="00591BBA"/>
    <w:rsid w:val="00616363"/>
    <w:rsid w:val="006F767F"/>
    <w:rsid w:val="00787D28"/>
    <w:rsid w:val="008016B1"/>
    <w:rsid w:val="008537E0"/>
    <w:rsid w:val="00856FAB"/>
    <w:rsid w:val="009411AB"/>
    <w:rsid w:val="00A27BA3"/>
    <w:rsid w:val="00AA0BD1"/>
    <w:rsid w:val="00AB2D34"/>
    <w:rsid w:val="00C338F0"/>
    <w:rsid w:val="00CD78D3"/>
    <w:rsid w:val="00E43222"/>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915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5169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69D4"/>
  </w:style>
  <w:style w:type="paragraph" w:styleId="Footer">
    <w:name w:val="footer"/>
    <w:basedOn w:val="Normal"/>
    <w:link w:val="FooterChar"/>
    <w:uiPriority w:val="99"/>
    <w:unhideWhenUsed/>
    <w:rsid w:val="005169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69D4"/>
  </w:style>
  <w:style w:type="character" w:styleId="Hyperlink">
    <w:name w:val="Hyperlink"/>
    <w:basedOn w:val="DefaultParagraphFont"/>
    <w:uiPriority w:val="99"/>
    <w:unhideWhenUsed/>
    <w:rsid w:val="005169D4"/>
    <w:rPr>
      <w:color w:val="0563C1" w:themeColor="hyperlink"/>
      <w:u w:val="single"/>
    </w:rPr>
  </w:style>
  <w:style w:type="character" w:customStyle="1" w:styleId="UnresolvedMention">
    <w:name w:val="Unresolved Mention"/>
    <w:basedOn w:val="DefaultParagraphFont"/>
    <w:uiPriority w:val="99"/>
    <w:semiHidden/>
    <w:unhideWhenUsed/>
    <w:rsid w:val="005169D4"/>
    <w:rPr>
      <w:color w:val="605E5C"/>
      <w:shd w:val="clear" w:color="auto" w:fill="E1DFDD"/>
    </w:rPr>
  </w:style>
  <w:style w:type="paragraph" w:styleId="ListParagraph">
    <w:name w:val="List Paragraph"/>
    <w:basedOn w:val="Normal"/>
    <w:uiPriority w:val="99"/>
    <w:qFormat/>
    <w:rsid w:val="0095653A"/>
    <w:pPr>
      <w:ind w:left="720"/>
      <w:contextualSpacing/>
    </w:pPr>
  </w:style>
  <w:style w:type="table" w:styleId="TableGrid">
    <w:name w:val="Table Grid"/>
    <w:basedOn w:val="TableNormal"/>
    <w:uiPriority w:val="59"/>
    <w:rsid w:val="009565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NoSpacing">
    <w:name w:val="No Spacing"/>
    <w:uiPriority w:val="1"/>
    <w:qFormat/>
    <w:rsid w:val="00CD78D3"/>
    <w:pPr>
      <w:spacing w:after="0" w:line="240" w:lineRule="auto"/>
    </w:pPr>
  </w:style>
  <w:style w:type="character" w:styleId="Emphasis">
    <w:name w:val="Emphasis"/>
    <w:basedOn w:val="DefaultParagraphFont"/>
    <w:uiPriority w:val="20"/>
    <w:qFormat/>
    <w:rsid w:val="00C338F0"/>
    <w:rPr>
      <w:i/>
      <w:iCs/>
    </w:rPr>
  </w:style>
  <w:style w:type="paragraph" w:styleId="BalloonText">
    <w:name w:val="Balloon Text"/>
    <w:basedOn w:val="Normal"/>
    <w:link w:val="BalloonTextChar"/>
    <w:uiPriority w:val="99"/>
    <w:semiHidden/>
    <w:unhideWhenUsed/>
    <w:rsid w:val="008537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37E0"/>
    <w:rPr>
      <w:rFonts w:ascii="Tahoma" w:hAnsi="Tahoma" w:cs="Tahoma"/>
      <w:sz w:val="16"/>
      <w:szCs w:val="16"/>
    </w:rPr>
  </w:style>
  <w:style w:type="paragraph" w:styleId="BodyText">
    <w:name w:val="Body Text"/>
    <w:basedOn w:val="Normal"/>
    <w:link w:val="BodyTextChar"/>
    <w:uiPriority w:val="99"/>
    <w:unhideWhenUsed/>
    <w:rsid w:val="008537E0"/>
    <w:pPr>
      <w:widowControl w:val="0"/>
      <w:autoSpaceDE w:val="0"/>
      <w:autoSpaceDN w:val="0"/>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BodyTextChar">
    <w:name w:val="Body Text Char"/>
    <w:basedOn w:val="DefaultParagraphFont"/>
    <w:link w:val="BodyText"/>
    <w:uiPriority w:val="99"/>
    <w:rsid w:val="008537E0"/>
    <w:rPr>
      <w:rFonts w:ascii="Times New Roman" w:eastAsia="Times New Roman" w:hAnsi="Times New Roman" w:cs="Times New Roman"/>
      <w:sz w:val="24"/>
      <w:szCs w:val="24"/>
      <w:lang w:val="id-ID" w:eastAsia="id-ID"/>
    </w:rPr>
  </w:style>
  <w:style w:type="character" w:customStyle="1" w:styleId="Heading2Char">
    <w:name w:val="Heading 2 Char"/>
    <w:basedOn w:val="DefaultParagraphFont"/>
    <w:link w:val="Heading2"/>
    <w:uiPriority w:val="99"/>
    <w:rsid w:val="00616363"/>
    <w:rPr>
      <w:b/>
      <w:sz w:val="36"/>
      <w:szCs w:val="36"/>
    </w:rPr>
  </w:style>
  <w:style w:type="character" w:styleId="FollowedHyperlink">
    <w:name w:val="FollowedHyperlink"/>
    <w:basedOn w:val="DefaultParagraphFont"/>
    <w:uiPriority w:val="99"/>
    <w:unhideWhenUsed/>
    <w:rsid w:val="00616363"/>
    <w:rPr>
      <w:color w:val="800080"/>
      <w:u w:val="single"/>
    </w:rPr>
  </w:style>
  <w:style w:type="paragraph" w:customStyle="1" w:styleId="TableParagraph">
    <w:name w:val="Table Paragraph"/>
    <w:basedOn w:val="Normal"/>
    <w:rsid w:val="00787D28"/>
    <w:pPr>
      <w:widowControl w:val="0"/>
      <w:autoSpaceDE w:val="0"/>
      <w:autoSpaceDN w:val="0"/>
      <w:spacing w:before="100" w:beforeAutospacing="1" w:after="100" w:afterAutospacing="1" w:line="240" w:lineRule="auto"/>
      <w:jc w:val="center"/>
    </w:pPr>
    <w:rPr>
      <w:rFonts w:eastAsia="Times New Roman"/>
      <w:sz w:val="24"/>
      <w:szCs w:val="24"/>
      <w:lang w:val="id-ID" w:eastAsia="id-ID"/>
    </w:rPr>
  </w:style>
  <w:style w:type="paragraph" w:styleId="NormalWeb">
    <w:name w:val="Normal (Web)"/>
    <w:basedOn w:val="Normal"/>
    <w:uiPriority w:val="99"/>
    <w:semiHidden/>
    <w:unhideWhenUsed/>
    <w:rsid w:val="00AA0BD1"/>
    <w:pPr>
      <w:spacing w:before="100" w:beforeAutospacing="1" w:after="100" w:afterAutospacing="1" w:line="240" w:lineRule="auto"/>
    </w:pPr>
    <w:rPr>
      <w:rFonts w:ascii="Times New Roman" w:eastAsia="Times New Roman" w:hAnsi="Times New Roman" w:cs="Times New Roman"/>
      <w:sz w:val="24"/>
      <w:szCs w:val="24"/>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5169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69D4"/>
  </w:style>
  <w:style w:type="paragraph" w:styleId="Footer">
    <w:name w:val="footer"/>
    <w:basedOn w:val="Normal"/>
    <w:link w:val="FooterChar"/>
    <w:uiPriority w:val="99"/>
    <w:unhideWhenUsed/>
    <w:rsid w:val="005169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69D4"/>
  </w:style>
  <w:style w:type="character" w:styleId="Hyperlink">
    <w:name w:val="Hyperlink"/>
    <w:basedOn w:val="DefaultParagraphFont"/>
    <w:uiPriority w:val="99"/>
    <w:unhideWhenUsed/>
    <w:rsid w:val="005169D4"/>
    <w:rPr>
      <w:color w:val="0563C1" w:themeColor="hyperlink"/>
      <w:u w:val="single"/>
    </w:rPr>
  </w:style>
  <w:style w:type="character" w:customStyle="1" w:styleId="UnresolvedMention">
    <w:name w:val="Unresolved Mention"/>
    <w:basedOn w:val="DefaultParagraphFont"/>
    <w:uiPriority w:val="99"/>
    <w:semiHidden/>
    <w:unhideWhenUsed/>
    <w:rsid w:val="005169D4"/>
    <w:rPr>
      <w:color w:val="605E5C"/>
      <w:shd w:val="clear" w:color="auto" w:fill="E1DFDD"/>
    </w:rPr>
  </w:style>
  <w:style w:type="paragraph" w:styleId="ListParagraph">
    <w:name w:val="List Paragraph"/>
    <w:basedOn w:val="Normal"/>
    <w:uiPriority w:val="99"/>
    <w:qFormat/>
    <w:rsid w:val="0095653A"/>
    <w:pPr>
      <w:ind w:left="720"/>
      <w:contextualSpacing/>
    </w:pPr>
  </w:style>
  <w:style w:type="table" w:styleId="TableGrid">
    <w:name w:val="Table Grid"/>
    <w:basedOn w:val="TableNormal"/>
    <w:uiPriority w:val="59"/>
    <w:rsid w:val="009565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NoSpacing">
    <w:name w:val="No Spacing"/>
    <w:uiPriority w:val="1"/>
    <w:qFormat/>
    <w:rsid w:val="00CD78D3"/>
    <w:pPr>
      <w:spacing w:after="0" w:line="240" w:lineRule="auto"/>
    </w:pPr>
  </w:style>
  <w:style w:type="character" w:styleId="Emphasis">
    <w:name w:val="Emphasis"/>
    <w:basedOn w:val="DefaultParagraphFont"/>
    <w:uiPriority w:val="20"/>
    <w:qFormat/>
    <w:rsid w:val="00C338F0"/>
    <w:rPr>
      <w:i/>
      <w:iCs/>
    </w:rPr>
  </w:style>
  <w:style w:type="paragraph" w:styleId="BalloonText">
    <w:name w:val="Balloon Text"/>
    <w:basedOn w:val="Normal"/>
    <w:link w:val="BalloonTextChar"/>
    <w:uiPriority w:val="99"/>
    <w:semiHidden/>
    <w:unhideWhenUsed/>
    <w:rsid w:val="008537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37E0"/>
    <w:rPr>
      <w:rFonts w:ascii="Tahoma" w:hAnsi="Tahoma" w:cs="Tahoma"/>
      <w:sz w:val="16"/>
      <w:szCs w:val="16"/>
    </w:rPr>
  </w:style>
  <w:style w:type="paragraph" w:styleId="BodyText">
    <w:name w:val="Body Text"/>
    <w:basedOn w:val="Normal"/>
    <w:link w:val="BodyTextChar"/>
    <w:uiPriority w:val="99"/>
    <w:unhideWhenUsed/>
    <w:rsid w:val="008537E0"/>
    <w:pPr>
      <w:widowControl w:val="0"/>
      <w:autoSpaceDE w:val="0"/>
      <w:autoSpaceDN w:val="0"/>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BodyTextChar">
    <w:name w:val="Body Text Char"/>
    <w:basedOn w:val="DefaultParagraphFont"/>
    <w:link w:val="BodyText"/>
    <w:uiPriority w:val="99"/>
    <w:rsid w:val="008537E0"/>
    <w:rPr>
      <w:rFonts w:ascii="Times New Roman" w:eastAsia="Times New Roman" w:hAnsi="Times New Roman" w:cs="Times New Roman"/>
      <w:sz w:val="24"/>
      <w:szCs w:val="24"/>
      <w:lang w:val="id-ID" w:eastAsia="id-ID"/>
    </w:rPr>
  </w:style>
  <w:style w:type="character" w:customStyle="1" w:styleId="Heading2Char">
    <w:name w:val="Heading 2 Char"/>
    <w:basedOn w:val="DefaultParagraphFont"/>
    <w:link w:val="Heading2"/>
    <w:uiPriority w:val="99"/>
    <w:rsid w:val="00616363"/>
    <w:rPr>
      <w:b/>
      <w:sz w:val="36"/>
      <w:szCs w:val="36"/>
    </w:rPr>
  </w:style>
  <w:style w:type="character" w:styleId="FollowedHyperlink">
    <w:name w:val="FollowedHyperlink"/>
    <w:basedOn w:val="DefaultParagraphFont"/>
    <w:uiPriority w:val="99"/>
    <w:unhideWhenUsed/>
    <w:rsid w:val="00616363"/>
    <w:rPr>
      <w:color w:val="800080"/>
      <w:u w:val="single"/>
    </w:rPr>
  </w:style>
  <w:style w:type="paragraph" w:customStyle="1" w:styleId="TableParagraph">
    <w:name w:val="Table Paragraph"/>
    <w:basedOn w:val="Normal"/>
    <w:rsid w:val="00787D28"/>
    <w:pPr>
      <w:widowControl w:val="0"/>
      <w:autoSpaceDE w:val="0"/>
      <w:autoSpaceDN w:val="0"/>
      <w:spacing w:before="100" w:beforeAutospacing="1" w:after="100" w:afterAutospacing="1" w:line="240" w:lineRule="auto"/>
      <w:jc w:val="center"/>
    </w:pPr>
    <w:rPr>
      <w:rFonts w:eastAsia="Times New Roman"/>
      <w:sz w:val="24"/>
      <w:szCs w:val="24"/>
      <w:lang w:val="id-ID" w:eastAsia="id-ID"/>
    </w:rPr>
  </w:style>
  <w:style w:type="paragraph" w:styleId="NormalWeb">
    <w:name w:val="Normal (Web)"/>
    <w:basedOn w:val="Normal"/>
    <w:uiPriority w:val="99"/>
    <w:semiHidden/>
    <w:unhideWhenUsed/>
    <w:rsid w:val="00AA0BD1"/>
    <w:pPr>
      <w:spacing w:before="100" w:beforeAutospacing="1" w:after="100" w:afterAutospacing="1" w:line="240" w:lineRule="auto"/>
    </w:pPr>
    <w:rPr>
      <w:rFonts w:ascii="Times New Roman" w:eastAsia="Times New Roman" w:hAnsi="Times New Roman" w:cs="Times New Roman"/>
      <w:sz w:val="24"/>
      <w:szCs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2419">
      <w:bodyDiv w:val="1"/>
      <w:marLeft w:val="0"/>
      <w:marRight w:val="0"/>
      <w:marTop w:val="0"/>
      <w:marBottom w:val="0"/>
      <w:divBdr>
        <w:top w:val="none" w:sz="0" w:space="0" w:color="auto"/>
        <w:left w:val="none" w:sz="0" w:space="0" w:color="auto"/>
        <w:bottom w:val="none" w:sz="0" w:space="0" w:color="auto"/>
        <w:right w:val="none" w:sz="0" w:space="0" w:color="auto"/>
      </w:divBdr>
    </w:div>
    <w:div w:id="239292787">
      <w:bodyDiv w:val="1"/>
      <w:marLeft w:val="0"/>
      <w:marRight w:val="0"/>
      <w:marTop w:val="0"/>
      <w:marBottom w:val="0"/>
      <w:divBdr>
        <w:top w:val="none" w:sz="0" w:space="0" w:color="auto"/>
        <w:left w:val="none" w:sz="0" w:space="0" w:color="auto"/>
        <w:bottom w:val="none" w:sz="0" w:space="0" w:color="auto"/>
        <w:right w:val="none" w:sz="0" w:space="0" w:color="auto"/>
      </w:divBdr>
    </w:div>
    <w:div w:id="269120780">
      <w:bodyDiv w:val="1"/>
      <w:marLeft w:val="0"/>
      <w:marRight w:val="0"/>
      <w:marTop w:val="0"/>
      <w:marBottom w:val="0"/>
      <w:divBdr>
        <w:top w:val="none" w:sz="0" w:space="0" w:color="auto"/>
        <w:left w:val="none" w:sz="0" w:space="0" w:color="auto"/>
        <w:bottom w:val="none" w:sz="0" w:space="0" w:color="auto"/>
        <w:right w:val="none" w:sz="0" w:space="0" w:color="auto"/>
      </w:divBdr>
    </w:div>
    <w:div w:id="363019862">
      <w:bodyDiv w:val="1"/>
      <w:marLeft w:val="0"/>
      <w:marRight w:val="0"/>
      <w:marTop w:val="0"/>
      <w:marBottom w:val="0"/>
      <w:divBdr>
        <w:top w:val="none" w:sz="0" w:space="0" w:color="auto"/>
        <w:left w:val="none" w:sz="0" w:space="0" w:color="auto"/>
        <w:bottom w:val="none" w:sz="0" w:space="0" w:color="auto"/>
        <w:right w:val="none" w:sz="0" w:space="0" w:color="auto"/>
      </w:divBdr>
      <w:divsChild>
        <w:div w:id="149566071">
          <w:marLeft w:val="0"/>
          <w:marRight w:val="0"/>
          <w:marTop w:val="0"/>
          <w:marBottom w:val="0"/>
          <w:divBdr>
            <w:top w:val="none" w:sz="0" w:space="0" w:color="auto"/>
            <w:left w:val="none" w:sz="0" w:space="0" w:color="auto"/>
            <w:bottom w:val="none" w:sz="0" w:space="0" w:color="auto"/>
            <w:right w:val="none" w:sz="0" w:space="0" w:color="auto"/>
          </w:divBdr>
          <w:divsChild>
            <w:div w:id="1717967187">
              <w:marLeft w:val="0"/>
              <w:marRight w:val="0"/>
              <w:marTop w:val="0"/>
              <w:marBottom w:val="0"/>
              <w:divBdr>
                <w:top w:val="none" w:sz="0" w:space="0" w:color="auto"/>
                <w:left w:val="none" w:sz="0" w:space="0" w:color="auto"/>
                <w:bottom w:val="none" w:sz="0" w:space="0" w:color="auto"/>
                <w:right w:val="none" w:sz="0" w:space="0" w:color="auto"/>
              </w:divBdr>
              <w:divsChild>
                <w:div w:id="1346634795">
                  <w:marLeft w:val="0"/>
                  <w:marRight w:val="0"/>
                  <w:marTop w:val="0"/>
                  <w:marBottom w:val="0"/>
                  <w:divBdr>
                    <w:top w:val="none" w:sz="0" w:space="0" w:color="auto"/>
                    <w:left w:val="none" w:sz="0" w:space="0" w:color="auto"/>
                    <w:bottom w:val="none" w:sz="0" w:space="0" w:color="auto"/>
                    <w:right w:val="none" w:sz="0" w:space="0" w:color="auto"/>
                  </w:divBdr>
                  <w:divsChild>
                    <w:div w:id="179544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8846692">
      <w:bodyDiv w:val="1"/>
      <w:marLeft w:val="0"/>
      <w:marRight w:val="0"/>
      <w:marTop w:val="0"/>
      <w:marBottom w:val="0"/>
      <w:divBdr>
        <w:top w:val="none" w:sz="0" w:space="0" w:color="auto"/>
        <w:left w:val="none" w:sz="0" w:space="0" w:color="auto"/>
        <w:bottom w:val="none" w:sz="0" w:space="0" w:color="auto"/>
        <w:right w:val="none" w:sz="0" w:space="0" w:color="auto"/>
      </w:divBdr>
    </w:div>
    <w:div w:id="498816643">
      <w:bodyDiv w:val="1"/>
      <w:marLeft w:val="0"/>
      <w:marRight w:val="0"/>
      <w:marTop w:val="0"/>
      <w:marBottom w:val="0"/>
      <w:divBdr>
        <w:top w:val="none" w:sz="0" w:space="0" w:color="auto"/>
        <w:left w:val="none" w:sz="0" w:space="0" w:color="auto"/>
        <w:bottom w:val="none" w:sz="0" w:space="0" w:color="auto"/>
        <w:right w:val="none" w:sz="0" w:space="0" w:color="auto"/>
      </w:divBdr>
    </w:div>
    <w:div w:id="745299327">
      <w:bodyDiv w:val="1"/>
      <w:marLeft w:val="0"/>
      <w:marRight w:val="0"/>
      <w:marTop w:val="0"/>
      <w:marBottom w:val="0"/>
      <w:divBdr>
        <w:top w:val="none" w:sz="0" w:space="0" w:color="auto"/>
        <w:left w:val="none" w:sz="0" w:space="0" w:color="auto"/>
        <w:bottom w:val="none" w:sz="0" w:space="0" w:color="auto"/>
        <w:right w:val="none" w:sz="0" w:space="0" w:color="auto"/>
      </w:divBdr>
    </w:div>
    <w:div w:id="967400083">
      <w:bodyDiv w:val="1"/>
      <w:marLeft w:val="0"/>
      <w:marRight w:val="0"/>
      <w:marTop w:val="0"/>
      <w:marBottom w:val="0"/>
      <w:divBdr>
        <w:top w:val="none" w:sz="0" w:space="0" w:color="auto"/>
        <w:left w:val="none" w:sz="0" w:space="0" w:color="auto"/>
        <w:bottom w:val="none" w:sz="0" w:space="0" w:color="auto"/>
        <w:right w:val="none" w:sz="0" w:space="0" w:color="auto"/>
      </w:divBdr>
    </w:div>
    <w:div w:id="989558620">
      <w:bodyDiv w:val="1"/>
      <w:marLeft w:val="0"/>
      <w:marRight w:val="0"/>
      <w:marTop w:val="0"/>
      <w:marBottom w:val="0"/>
      <w:divBdr>
        <w:top w:val="none" w:sz="0" w:space="0" w:color="auto"/>
        <w:left w:val="none" w:sz="0" w:space="0" w:color="auto"/>
        <w:bottom w:val="none" w:sz="0" w:space="0" w:color="auto"/>
        <w:right w:val="none" w:sz="0" w:space="0" w:color="auto"/>
      </w:divBdr>
    </w:div>
    <w:div w:id="1004164522">
      <w:bodyDiv w:val="1"/>
      <w:marLeft w:val="0"/>
      <w:marRight w:val="0"/>
      <w:marTop w:val="0"/>
      <w:marBottom w:val="0"/>
      <w:divBdr>
        <w:top w:val="none" w:sz="0" w:space="0" w:color="auto"/>
        <w:left w:val="none" w:sz="0" w:space="0" w:color="auto"/>
        <w:bottom w:val="none" w:sz="0" w:space="0" w:color="auto"/>
        <w:right w:val="none" w:sz="0" w:space="0" w:color="auto"/>
      </w:divBdr>
    </w:div>
    <w:div w:id="1155222346">
      <w:bodyDiv w:val="1"/>
      <w:marLeft w:val="0"/>
      <w:marRight w:val="0"/>
      <w:marTop w:val="0"/>
      <w:marBottom w:val="0"/>
      <w:divBdr>
        <w:top w:val="none" w:sz="0" w:space="0" w:color="auto"/>
        <w:left w:val="none" w:sz="0" w:space="0" w:color="auto"/>
        <w:bottom w:val="none" w:sz="0" w:space="0" w:color="auto"/>
        <w:right w:val="none" w:sz="0" w:space="0" w:color="auto"/>
      </w:divBdr>
    </w:div>
    <w:div w:id="1178546999">
      <w:bodyDiv w:val="1"/>
      <w:marLeft w:val="0"/>
      <w:marRight w:val="0"/>
      <w:marTop w:val="0"/>
      <w:marBottom w:val="0"/>
      <w:divBdr>
        <w:top w:val="none" w:sz="0" w:space="0" w:color="auto"/>
        <w:left w:val="none" w:sz="0" w:space="0" w:color="auto"/>
        <w:bottom w:val="none" w:sz="0" w:space="0" w:color="auto"/>
        <w:right w:val="none" w:sz="0" w:space="0" w:color="auto"/>
      </w:divBdr>
    </w:div>
    <w:div w:id="1275283374">
      <w:bodyDiv w:val="1"/>
      <w:marLeft w:val="0"/>
      <w:marRight w:val="0"/>
      <w:marTop w:val="0"/>
      <w:marBottom w:val="0"/>
      <w:divBdr>
        <w:top w:val="none" w:sz="0" w:space="0" w:color="auto"/>
        <w:left w:val="none" w:sz="0" w:space="0" w:color="auto"/>
        <w:bottom w:val="none" w:sz="0" w:space="0" w:color="auto"/>
        <w:right w:val="none" w:sz="0" w:space="0" w:color="auto"/>
      </w:divBdr>
    </w:div>
    <w:div w:id="1611618257">
      <w:bodyDiv w:val="1"/>
      <w:marLeft w:val="0"/>
      <w:marRight w:val="0"/>
      <w:marTop w:val="0"/>
      <w:marBottom w:val="0"/>
      <w:divBdr>
        <w:top w:val="none" w:sz="0" w:space="0" w:color="auto"/>
        <w:left w:val="none" w:sz="0" w:space="0" w:color="auto"/>
        <w:bottom w:val="none" w:sz="0" w:space="0" w:color="auto"/>
        <w:right w:val="none" w:sz="0" w:space="0" w:color="auto"/>
      </w:divBdr>
    </w:div>
    <w:div w:id="1702978452">
      <w:bodyDiv w:val="1"/>
      <w:marLeft w:val="0"/>
      <w:marRight w:val="0"/>
      <w:marTop w:val="0"/>
      <w:marBottom w:val="0"/>
      <w:divBdr>
        <w:top w:val="none" w:sz="0" w:space="0" w:color="auto"/>
        <w:left w:val="none" w:sz="0" w:space="0" w:color="auto"/>
        <w:bottom w:val="none" w:sz="0" w:space="0" w:color="auto"/>
        <w:right w:val="none" w:sz="0" w:space="0" w:color="auto"/>
      </w:divBdr>
    </w:div>
    <w:div w:id="2016377180">
      <w:bodyDiv w:val="1"/>
      <w:marLeft w:val="0"/>
      <w:marRight w:val="0"/>
      <w:marTop w:val="0"/>
      <w:marBottom w:val="0"/>
      <w:divBdr>
        <w:top w:val="none" w:sz="0" w:space="0" w:color="auto"/>
        <w:left w:val="none" w:sz="0" w:space="0" w:color="auto"/>
        <w:bottom w:val="none" w:sz="0" w:space="0" w:color="auto"/>
        <w:right w:val="none" w:sz="0" w:space="0" w:color="auto"/>
      </w:divBdr>
    </w:div>
    <w:div w:id="20459852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www.idx.co.id" TargetMode="External"/><Relationship Id="rId26" Type="http://schemas.openxmlformats.org/officeDocument/2006/relationships/image" Target="media/image15.jpe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8.png"/><Relationship Id="rId25" Type="http://schemas.openxmlformats.org/officeDocument/2006/relationships/image" Target="media/image14.png"/><Relationship Id="rId33" Type="http://schemas.openxmlformats.org/officeDocument/2006/relationships/hyperlink" Target="https://doi.org/10.33395/owner.v4n2.%20239"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9.jpeg"/><Relationship Id="rId29" Type="http://schemas.openxmlformats.org/officeDocument/2006/relationships/hyperlink" Target="https://doi.org/10.33395/owner.v4n2.%2023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3.jpeg"/><Relationship Id="rId32" Type="http://schemas.openxmlformats.org/officeDocument/2006/relationships/hyperlink" Target="http://dx.doi.org/10.2307/1926621" TargetMode="External"/><Relationship Id="rId37"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2.jpeg"/><Relationship Id="rId28" Type="http://schemas.openxmlformats.org/officeDocument/2006/relationships/hyperlink" Target="https://www.idx.co.id/" TargetMode="External"/><Relationship Id="rId36" Type="http://schemas.openxmlformats.org/officeDocument/2006/relationships/header" Target="header1.xml"/><Relationship Id="rId10" Type="http://schemas.openxmlformats.org/officeDocument/2006/relationships/hyperlink" Target="https://doi.org/10.14421/EkBis.2022.6.1.1555" TargetMode="External"/><Relationship Id="rId19" Type="http://schemas.openxmlformats.org/officeDocument/2006/relationships/hyperlink" Target="http://www.idx.co.id/" TargetMode="External"/><Relationship Id="rId31" Type="http://schemas.openxmlformats.org/officeDocument/2006/relationships/hyperlink" Target="http://dx.doi.org/10.2307/1926621" TargetMode="External"/><Relationship Id="rId4" Type="http://schemas.microsoft.com/office/2007/relationships/stylesWithEffects" Target="stylesWithEffects.xml"/><Relationship Id="rId9" Type="http://schemas.openxmlformats.org/officeDocument/2006/relationships/image" Target="media/image6.png"/><Relationship Id="rId14" Type="http://schemas.openxmlformats.org/officeDocument/2006/relationships/image" Target="media/image4.jpeg"/><Relationship Id="rId22" Type="http://schemas.openxmlformats.org/officeDocument/2006/relationships/image" Target="media/image11.jpeg"/><Relationship Id="rId27" Type="http://schemas.openxmlformats.org/officeDocument/2006/relationships/hyperlink" Target="https://doi.org/10.33395/owner.v4n2.%20239" TargetMode="External"/><Relationship Id="rId30" Type="http://schemas.openxmlformats.org/officeDocument/2006/relationships/hyperlink" Target="http://www.financialinsights.com/article123" TargetMode="External"/><Relationship Id="rId35"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hyperlink" Target="https://ejournal.almaata.ac.id/index.php/IJMA/index" TargetMode="External"/><Relationship Id="rId2" Type="http://schemas.openxmlformats.org/officeDocument/2006/relationships/hyperlink" Target="https://ejournal.almaata.ac.id/index.php/IJMA/index" TargetMode="External"/><Relationship Id="rId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SR1r/pNZPE0qmAdQIDJYV4278w==">AMUW2mVXUwY4cZLWdm7GQBRlEOLUPUZqoieSmU1JIw8Jw7eszsxPcMPNV/TBNYR2SnvFR/ZJqEeMrdDLXMAhUXR4/d3RbihOEhjqxlTpzfgnI1P73sN9rkWDlRMKKdw8M50k/D0wfiqB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6079</Words>
  <Characters>34653</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Appman Premium 2021</Company>
  <LinksUpToDate>false</LinksUpToDate>
  <CharactersWithSpaces>40651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Achmad Nurdany</dc:creator>
  <cp:lastModifiedBy>LE</cp:lastModifiedBy>
  <cp:revision>2</cp:revision>
  <dcterms:created xsi:type="dcterms:W3CDTF">2024-07-09T07:20:00Z</dcterms:created>
  <dcterms:modified xsi:type="dcterms:W3CDTF">2024-07-09T07:20:00Z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ca600863f5500f0905fb843475144cd5b786aeb366925cf3a1ab024e8466bf0f</vt:lpwstr>
  </property>
</Properties>
</file>