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0AD672AE" w:rsidR="00A27BA3" w:rsidRPr="00CD78D3" w:rsidRDefault="002C3566"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2C3566">
        <w:rPr>
          <w:rFonts w:ascii="Cambria" w:eastAsia="Cambria" w:hAnsi="Cambria" w:cs="Cambria"/>
          <w:b/>
          <w:sz w:val="40"/>
          <w:szCs w:val="40"/>
        </w:rPr>
        <w:t>SYSTEMATIC LITERATUR REVIEW: GOOD CORPORATE GOVERNACE DAN KINERJA KEUANGAN</w:t>
      </w:r>
      <w:r w:rsidR="00CD78D3">
        <w:rPr>
          <w:rFonts w:ascii="Cambria" w:eastAsia="Cambria" w:hAnsi="Cambria" w:cs="Cambria"/>
          <w:b/>
          <w:sz w:val="40"/>
          <w:szCs w:val="40"/>
        </w:rPr>
        <w:tab/>
      </w:r>
    </w:p>
    <w:p w14:paraId="34F0DF27" w14:textId="730FBB4F" w:rsidR="00A27BA3" w:rsidRDefault="00000000">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2C3566">
        <w:rPr>
          <w:rFonts w:ascii="Cambria" w:eastAsia="Cambria" w:hAnsi="Cambria" w:cs="Cambria"/>
          <w:sz w:val="28"/>
          <w:szCs w:val="28"/>
        </w:rPr>
        <w:t>Nailah Maghfirah</w:t>
      </w:r>
      <w:r>
        <w:rPr>
          <w:rFonts w:ascii="Cambria" w:eastAsia="Cambria" w:hAnsi="Cambria" w:cs="Cambria"/>
          <w:noProof/>
          <w:sz w:val="28"/>
          <w:szCs w:val="28"/>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and </w:t>
      </w:r>
      <w:r>
        <w:rPr>
          <w:rFonts w:ascii="Cambria" w:eastAsia="Cambria" w:hAnsi="Cambria" w:cs="Cambria"/>
          <w:sz w:val="28"/>
          <w:szCs w:val="28"/>
          <w:vertAlign w:val="superscript"/>
        </w:rPr>
        <w:t>2</w:t>
      </w:r>
      <w:r w:rsidR="002C3566">
        <w:rPr>
          <w:rFonts w:ascii="Cambria" w:eastAsia="Cambria" w:hAnsi="Cambria" w:cs="Cambria"/>
          <w:sz w:val="28"/>
          <w:szCs w:val="28"/>
        </w:rPr>
        <w:t>Eko Giyartiningrum</w:t>
      </w:r>
      <w:r>
        <w:rPr>
          <w:rFonts w:ascii="Cambria" w:eastAsia="Cambria" w:hAnsi="Cambria" w:cs="Cambria"/>
          <w:noProof/>
          <w:sz w:val="28"/>
          <w:szCs w:val="28"/>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0C939CCF" w:rsidR="00A27BA3" w:rsidRDefault="00000000">
      <w:pPr>
        <w:spacing w:after="0" w:line="240"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w:t>
      </w:r>
      <w:r w:rsidR="00CD78D3">
        <w:rPr>
          <w:rFonts w:ascii="Cambria" w:eastAsia="Cambria" w:hAnsi="Cambria" w:cs="Cambria"/>
        </w:rPr>
        <w:t xml:space="preserve">Univeristas </w:t>
      </w:r>
      <w:r w:rsidR="002C3566">
        <w:rPr>
          <w:rFonts w:ascii="Cambria" w:eastAsia="Cambria" w:hAnsi="Cambria" w:cs="Cambria"/>
        </w:rPr>
        <w:t>Cokroaminoto Yogyakarta</w:t>
      </w:r>
      <w:r w:rsidR="00CD78D3">
        <w:rPr>
          <w:rFonts w:ascii="Cambria" w:eastAsia="Cambria" w:hAnsi="Cambria" w:cs="Cambria"/>
        </w:rPr>
        <w:t>,</w:t>
      </w:r>
      <w:r>
        <w:rPr>
          <w:rFonts w:ascii="Cambria" w:eastAsia="Cambria" w:hAnsi="Cambria" w:cs="Cambria"/>
        </w:rPr>
        <w:t xml:space="preserve"> Yogyakarta, Indonesia</w:t>
      </w:r>
    </w:p>
    <w:p w14:paraId="4693D731" w14:textId="55521D3C" w:rsidR="00A27BA3" w:rsidRDefault="00000000">
      <w:pPr>
        <w:spacing w:after="0" w:line="240" w:lineRule="auto"/>
        <w:rPr>
          <w:rFonts w:ascii="Cambria" w:eastAsia="Cambria" w:hAnsi="Cambria" w:cs="Cambria"/>
        </w:rPr>
      </w:pPr>
      <w:r>
        <w:rPr>
          <w:rFonts w:ascii="Cambria" w:eastAsia="Cambria" w:hAnsi="Cambria" w:cs="Cambria"/>
          <w:sz w:val="28"/>
          <w:szCs w:val="28"/>
          <w:vertAlign w:val="superscript"/>
        </w:rPr>
        <w:t>2</w:t>
      </w:r>
      <w:r>
        <w:rPr>
          <w:rFonts w:ascii="Cambria" w:eastAsia="Cambria" w:hAnsi="Cambria" w:cs="Cambria"/>
        </w:rPr>
        <w:t xml:space="preserve"> </w:t>
      </w:r>
      <w:r w:rsidR="002C3566">
        <w:rPr>
          <w:rFonts w:ascii="Cambria" w:eastAsia="Cambria" w:hAnsi="Cambria" w:cs="Cambria"/>
        </w:rPr>
        <w:t>Univeristas Cokroaminoto Yogyakarta, Yogyakarta, Indonesia</w:t>
      </w:r>
    </w:p>
    <w:p w14:paraId="30B3484C" w14:textId="77777777" w:rsidR="00A27BA3" w:rsidRDefault="00A27BA3">
      <w:pPr>
        <w:spacing w:after="60" w:line="240" w:lineRule="auto"/>
        <w:rPr>
          <w:rFonts w:ascii="Cambria" w:eastAsia="Cambria" w:hAnsi="Cambria" w:cs="Cambria"/>
          <w:sz w:val="10"/>
          <w:szCs w:val="10"/>
        </w:rPr>
      </w:pPr>
    </w:p>
    <w:p w14:paraId="68E948C0" w14:textId="6D110022" w:rsidR="00A27BA3" w:rsidRDefault="00000000">
      <w:pPr>
        <w:spacing w:after="60" w:line="240" w:lineRule="auto"/>
        <w:rPr>
          <w:rFonts w:ascii="Cambria" w:eastAsia="Cambria" w:hAnsi="Cambria" w:cs="Cambria"/>
        </w:rPr>
      </w:pPr>
      <w:r>
        <w:rPr>
          <w:rFonts w:ascii="Cambria" w:eastAsia="Cambria" w:hAnsi="Cambria" w:cs="Cambria"/>
        </w:rPr>
        <w:t xml:space="preserve">* Corresponding author: </w:t>
      </w:r>
      <w:hyperlink r:id="rId11" w:history="1">
        <w:r w:rsidR="002C3566" w:rsidRPr="0069145B">
          <w:rPr>
            <w:rStyle w:val="Hyperlink"/>
            <w:rFonts w:ascii="Cambria" w:eastAsia="Cambria" w:hAnsi="Cambria" w:cs="Cambria"/>
          </w:rPr>
          <w:t>nailahmaghfirah6@gmail.com</w:t>
        </w:r>
      </w:hyperlink>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49954261" w:rsidR="00A27BA3" w:rsidRDefault="00000000">
            <w:pPr>
              <w:spacing w:before="120"/>
              <w:rPr>
                <w:rFonts w:ascii="Cambria" w:eastAsia="Cambria" w:hAnsi="Cambria" w:cs="Cambria"/>
                <w:b/>
                <w:sz w:val="24"/>
                <w:szCs w:val="24"/>
              </w:rPr>
            </w:pPr>
            <w:r>
              <w:rPr>
                <w:rFonts w:ascii="Cambria" w:eastAsia="Cambria" w:hAnsi="Cambria" w:cs="Cambria"/>
                <w:b/>
                <w:sz w:val="24"/>
                <w:szCs w:val="24"/>
              </w:rPr>
              <w:t>ABSTRA</w:t>
            </w:r>
            <w:r w:rsidR="002C3566">
              <w:rPr>
                <w:rFonts w:ascii="Cambria" w:eastAsia="Cambria" w:hAnsi="Cambria" w:cs="Cambria"/>
                <w:b/>
                <w:sz w:val="24"/>
                <w:szCs w:val="24"/>
              </w:rPr>
              <w:t>K</w:t>
            </w:r>
          </w:p>
        </w:tc>
      </w:tr>
      <w:tr w:rsidR="00A27BA3" w14:paraId="09B1354D" w14:textId="77777777">
        <w:tc>
          <w:tcPr>
            <w:tcW w:w="2835" w:type="dxa"/>
            <w:shd w:val="clear" w:color="auto" w:fill="EDEDED"/>
            <w:vAlign w:val="bottom"/>
          </w:tcPr>
          <w:p w14:paraId="3A1E1B2D" w14:textId="77777777" w:rsidR="00A27BA3" w:rsidRDefault="00000000">
            <w:pPr>
              <w:spacing w:after="240"/>
              <w:rPr>
                <w:rFonts w:ascii="Cambria" w:eastAsia="Cambria" w:hAnsi="Cambria" w:cs="Cambria"/>
                <w:b/>
              </w:rPr>
            </w:pPr>
            <w:r>
              <w:rPr>
                <w:rFonts w:ascii="Cambria" w:eastAsia="Cambria" w:hAnsi="Cambria" w:cs="Cambria"/>
                <w:b/>
              </w:rPr>
              <w:t>Article Info</w:t>
            </w:r>
          </w:p>
          <w:p w14:paraId="30054F36"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000000">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000000">
            <w:pPr>
              <w:spacing w:after="60"/>
              <w:rPr>
                <w:rFonts w:ascii="Cambria" w:eastAsia="Cambria" w:hAnsi="Cambria" w:cs="Cambria"/>
                <w:sz w:val="18"/>
                <w:szCs w:val="18"/>
              </w:rPr>
            </w:pPr>
            <w:hyperlink r:id="rId12">
              <w:r>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000000">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00000">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3"/>
                          <a:srcRect/>
                          <a:stretch>
                            <a:fillRect/>
                          </a:stretch>
                        </pic:blipFill>
                        <pic:spPr>
                          <a:xfrm>
                            <a:off x="0" y="0"/>
                            <a:ext cx="838200" cy="297815"/>
                          </a:xfrm>
                          <a:prstGeom prst="rect">
                            <a:avLst/>
                          </a:prstGeom>
                          <a:ln/>
                        </pic:spPr>
                      </pic:pic>
                    </a:graphicData>
                  </a:graphic>
                </wp:inline>
              </w:drawing>
            </w:r>
          </w:p>
        </w:tc>
        <w:tc>
          <w:tcPr>
            <w:tcW w:w="6663" w:type="dxa"/>
          </w:tcPr>
          <w:p w14:paraId="77B5B74D" w14:textId="77777777" w:rsidR="002C3566" w:rsidRDefault="002C3566">
            <w:pPr>
              <w:spacing w:before="120" w:after="120"/>
              <w:ind w:left="40"/>
              <w:jc w:val="both"/>
              <w:rPr>
                <w:rFonts w:ascii="Cambria" w:eastAsia="Cambria" w:hAnsi="Cambria" w:cs="Cambria"/>
              </w:rPr>
            </w:pPr>
            <w:r w:rsidRPr="002C3566">
              <w:rPr>
                <w:rFonts w:ascii="Cambria" w:eastAsia="Cambria" w:hAnsi="Cambria" w:cs="Cambria"/>
              </w:rPr>
              <w:t>Tinjauan sistematis literatur ini bertujuan menelaah proksi yang digunakan untuk mengukur Good Corporate Governance (GCG) dan kinerja keuangan serta hubungan antara keduanya. Metode yang digunakan adalah systematic literature review (SLR). Dari 200 jurnal yang sesuai karakteristik, setelah menghilangkan duplikat, diperoleh 176 jurnal. Proses screening menghasilkan 70 jurnal, yang kemudian disaring sesuai inklusi menjadi 15 jurnal yang relevan dengan topik GCG dan kinerja keuangan untuk direview. Hasilnya menunjukkan bahwa tidak semua proksi GCG memiliki dampak pada kinerja keuangan. Dampak tersebut bergantung pada sampel dan rentang waktu penelitian yang digunakan. Proksi GCG yang sering digunakan mencakup komposisi dewan direksi, kepemilikan manajerial, komite audit, dan transparansi perusahaan. Kinerja keuangan diukur melalui berbagai indikator seperti Return on Assets (ROA) dan Return on Equity (ROE). Beberapa proksi GCG memiliki hubungan positif dengan kinerja keuangan, sementara yang lain menunjukkan hubungan tidak signifikan atau negatif, tergantung pada kondisi perusahaan dan lingkungan operasionalnya.</w:t>
            </w:r>
          </w:p>
          <w:p w14:paraId="79CEA475" w14:textId="6D50B097" w:rsidR="00A27BA3" w:rsidRDefault="002C3566">
            <w:pPr>
              <w:spacing w:before="120" w:after="120"/>
              <w:ind w:left="40"/>
              <w:jc w:val="both"/>
              <w:rPr>
                <w:rFonts w:ascii="Cambria" w:eastAsia="Cambria" w:hAnsi="Cambria" w:cs="Cambria"/>
                <w:i/>
                <w:iCs/>
              </w:rPr>
            </w:pPr>
            <w:r>
              <w:rPr>
                <w:rFonts w:ascii="Cambria" w:eastAsia="Cambria" w:hAnsi="Cambria" w:cs="Cambria"/>
                <w:b/>
                <w:i/>
              </w:rPr>
              <w:t xml:space="preserve">Kata Kunci: </w:t>
            </w:r>
            <w:r>
              <w:rPr>
                <w:rFonts w:ascii="Cambria" w:eastAsia="Cambria" w:hAnsi="Cambria" w:cs="Cambria"/>
                <w:i/>
                <w:iCs/>
              </w:rPr>
              <w:t>Good Corporote Governance</w:t>
            </w:r>
            <w:r>
              <w:rPr>
                <w:rFonts w:ascii="Cambria" w:eastAsia="Cambria" w:hAnsi="Cambria" w:cs="Cambria"/>
              </w:rPr>
              <w:t xml:space="preserve">, Kinerja Keuangan, </w:t>
            </w:r>
            <w:r>
              <w:rPr>
                <w:rFonts w:ascii="Cambria" w:eastAsia="Cambria" w:hAnsi="Cambria" w:cs="Cambria"/>
                <w:i/>
                <w:iCs/>
              </w:rPr>
              <w:t>Systematic Literature Review</w:t>
            </w:r>
          </w:p>
          <w:p w14:paraId="76D7A221" w14:textId="26F974C2" w:rsidR="002C3566" w:rsidRDefault="002C3566">
            <w:pPr>
              <w:spacing w:before="120" w:after="120"/>
              <w:ind w:left="40"/>
              <w:jc w:val="both"/>
              <w:rPr>
                <w:rFonts w:ascii="Cambria" w:eastAsia="Cambria" w:hAnsi="Cambria" w:cs="Cambria"/>
                <w:b/>
                <w:bCs/>
                <w:sz w:val="24"/>
                <w:szCs w:val="24"/>
              </w:rPr>
            </w:pPr>
            <w:r>
              <w:rPr>
                <w:rFonts w:ascii="Cambria" w:eastAsia="Cambria" w:hAnsi="Cambria" w:cs="Cambria"/>
                <w:b/>
                <w:bCs/>
                <w:sz w:val="24"/>
                <w:szCs w:val="24"/>
              </w:rPr>
              <w:t>ABSTRACT</w:t>
            </w:r>
          </w:p>
          <w:p w14:paraId="6B9E5F87" w14:textId="77777777" w:rsidR="002C3566" w:rsidRPr="002C3566" w:rsidRDefault="002C3566" w:rsidP="002C3566">
            <w:pPr>
              <w:spacing w:after="240" w:line="276" w:lineRule="auto"/>
              <w:jc w:val="both"/>
              <w:rPr>
                <w:rFonts w:ascii="Times New Roman" w:hAnsi="Times New Roman" w:cs="Times New Roman"/>
              </w:rPr>
            </w:pPr>
            <w:r w:rsidRPr="002C3566">
              <w:rPr>
                <w:rFonts w:ascii="Times New Roman" w:hAnsi="Times New Roman" w:cs="Times New Roman"/>
              </w:rPr>
              <w:t xml:space="preserve">This systematic literature review aims to examine the proxies used to measure Good Corporate Governance (GCG) and financial performance, as well as the relationship between them. Out of 200 journals that met the criteria, 176 were retained after removing duplicates. The screening process resulted in 70 journals, which were further filtered according to inclusion criteria to 15 journals relevant to the topic of GCG and financial performance for review. The findings indicate that not all GCG proxies impact financial performance, with the effect depending on the sample and research period used. Commonly used GCG proxies include board composition, managerial ownership, audit committees, and corporate </w:t>
            </w:r>
            <w:r w:rsidRPr="002C3566">
              <w:rPr>
                <w:rFonts w:ascii="Times New Roman" w:hAnsi="Times New Roman" w:cs="Times New Roman"/>
              </w:rPr>
              <w:lastRenderedPageBreak/>
              <w:t>transparency. Financial performance is measured through various indicators such as Return on Assets (ROA) and Return on Equity (ROE). Some GCG proxies have a positive relationship with financial performance, while others show no significant or even negative relationship, depending on the company's conditions and operational environment. Therefore, it is crucial for researchers and practitioners to consider contextual variables when evaluating the impact of GCG on financial performance.</w:t>
            </w:r>
          </w:p>
          <w:p w14:paraId="7E04DCD5" w14:textId="60C6F480" w:rsidR="002C3566" w:rsidRPr="002C3566" w:rsidRDefault="002C3566" w:rsidP="002C3566">
            <w:pPr>
              <w:spacing w:after="240" w:line="276" w:lineRule="auto"/>
              <w:jc w:val="both"/>
              <w:rPr>
                <w:rFonts w:ascii="Times New Roman" w:hAnsi="Times New Roman" w:cs="Times New Roman"/>
              </w:rPr>
            </w:pPr>
            <w:r w:rsidRPr="002C3566">
              <w:rPr>
                <w:rFonts w:ascii="Times New Roman" w:hAnsi="Times New Roman" w:cs="Times New Roman"/>
              </w:rPr>
              <w:t>Keyword: Good Corporate Governance, Financial Performance, Systematic Literatur Review</w:t>
            </w:r>
          </w:p>
          <w:p w14:paraId="07880EEC" w14:textId="77777777" w:rsidR="00A27BA3" w:rsidRDefault="00000000">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17D35887" w:rsidR="00A27BA3" w:rsidRDefault="00223A56">
      <w:pPr>
        <w:spacing w:after="60" w:line="276" w:lineRule="auto"/>
        <w:rPr>
          <w:rFonts w:ascii="Cambria" w:eastAsia="Cambria" w:hAnsi="Cambria" w:cs="Cambria"/>
          <w:b/>
          <w:sz w:val="24"/>
          <w:szCs w:val="24"/>
        </w:rPr>
      </w:pPr>
      <w:r>
        <w:rPr>
          <w:rFonts w:ascii="Cambria" w:eastAsia="Cambria" w:hAnsi="Cambria" w:cs="Cambria"/>
          <w:b/>
          <w:sz w:val="24"/>
          <w:szCs w:val="24"/>
        </w:rPr>
        <w:t xml:space="preserve">PENDAHULUAN </w:t>
      </w:r>
      <w:r>
        <w:rPr>
          <w:rFonts w:ascii="Cambria" w:eastAsia="Cambria" w:hAnsi="Cambria" w:cs="Cambria"/>
          <w:sz w:val="24"/>
          <w:szCs w:val="24"/>
        </w:rPr>
        <w:t>(Cambria 12, Bold, UPPERCASE, 1,15pt Space)</w:t>
      </w:r>
    </w:p>
    <w:p w14:paraId="14DB55AB" w14:textId="7D1E6223" w:rsid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t xml:space="preserve">Sejalan dengan perkembangan bisnis global yang semakin kompleks, pentingnya Good Corporate Governance menjadi landasan untuk menjaga integritas serta transparansi institusi menjadi semakin menonjol. Good Corporate Governance ialah skema untuk mempertahankan kepentingan pemegang saham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{"citationItems":[{"id":"ITEM-1","itemData":{"ISSN":"2086-4620","abstract":"Penelitian ini bertujuan untuk mengetahui seberapa besarpengaruh Good Corporate Governancedan kinerja keuangan terhadapharga saham padaperusahaan sektor makanan dan minuman yang terdaftar di BEI. Tatakelola perusahaan yang baik dapat dilihat dari dewan direksi, komisaris independen, dan kepemilikan  institusional,  selain  itu  salah  satu  rasio  yang  dapat  digunakan  untuk  melihat kinerja keuangan. Harga saham diidentifikasikan dengan harga penutupan saat laporan keuangan di publikasi. Hasil penelitian menunjukkan bahwa dewan direksi, komisaris independen, kepemilikan institusional dan ROE memiliki pengaruh terhadap harga saham perusahaan makanan dan minuman yang terdaftar di BEI tahun 2011-2018.","author":[{"dropping-particle":"","family":"Nurulrahmatiah","given":"Nafisah","non-dropping-particle":"","parse-names":false,"suffix":""},{"dropping-particle":"","family":"Pratiwi","given":"Aliah","non-dropping-particle":"","parse-names":false,"suffix":""},{"dropping-particle":"","family":"Nurhayati","given":"","non-dropping-particle":"","parse-names":false,"suffix":""}],"container-title":"Coopetition: Jurnal Ilmiah Manajemen","id":"ITEM-1","issue":"2","issued":{"date-parts":[["2020"]]},"page":"135-145","title":"Coopetition: Jurnal Ilmiah Manajemen Pengaruh Good Corporate Governance dan Kinerja Keuangan Terhadap Harga Saham Perusahaan Sektor Makanan dan Minuman yang Terdaftar di Bursa Efek Indonesia (BEI) Tahun 2011-2018","type":"article-journal","volume":"X1 NO. 2 j"},"uris":["http://www.mendeley.com/documents/?uuid=fca297e9-614f-4de7-a01c-1b002b5bc780"]}],"mendeley":{"formattedCitation":"(Nurulrahmatiah et al., 2020)","plainTextFormattedCitation":"(Nurulrahmatiah et al., 2020)","previouslyFormattedCitation":"(Nurulrahmatiah et al., 2020)"},"properties":{"noteIndex":0},"schema":"https://github.com/citation-style-language/schema/raw/master/csl-citation.json"}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(Nurulrahmatiah et al., 2020)</w:t>
      </w:r>
      <w:r>
        <w:rPr>
          <w:rFonts w:ascii="Cambria" w:eastAsia="Cambria" w:hAnsi="Cambria" w:cs="Cambria"/>
          <w:sz w:val="24"/>
          <w:szCs w:val="24"/>
        </w:rPr>
        <w:fldChar w:fldCharType="end"/>
      </w:r>
      <w:r w:rsidRPr="00223A56">
        <w:rPr>
          <w:rFonts w:ascii="Cambria" w:eastAsia="Cambria" w:hAnsi="Cambria" w:cs="Cambria"/>
          <w:sz w:val="24"/>
          <w:szCs w:val="24"/>
        </w:rPr>
        <w:t xml:space="preserve">. Good Corporate Governance (GCG) hadir sebagai penjamin untuk manajemen melaksanakan tugasnya dengan efektif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{"citationItems":[{"id":"ITEM-1","itemData":{"DOI":"10.51510/budgeting.v1i2.476","abstract":"Tujuan dari penelitian ini adalah untuk mengetahui pengaruh Good Corporate Governance yang terdiri kepemilikan manajerial, kepemilikan institusional, dan pengaruh pengungkapan Corporate Social Responsibility terhadap kinerja keuangan pada perusahaan manufaktur yang terdaftar di bursa efek indonesia dari tahun 2016-2019. Metode yang digunakan dalam menentukan sampel yaitu dengan menggunakan metode purposive sampling dan diperoleh sampel sebanyak 37 perusahaan. Penelitian ini menggunakan data sekunder yang diperoleh dari laporan tahunan yang dipublikasikan melalui website resmi Bursa Efek Indonesia www.idx.com tahun 2016-2019. Metode analisis pada penelitian ini adalah analisis regresi berganda. Hasil dari penelitian ini menunjukkan bahwa: (1) Kepemilikan manajerial berpengaruh terhadap kinerja keuangan. (2) Kepemilikan institusional tidak berpengaruh terhadap kinerja keuangan. (3) Pengungkapan  Corporate Social Responsibility berpengaruh terhadap kinerja keuangan.","author":[{"dropping-particle":"","family":"Riswanto","given":"Riswanto","non-dropping-particle":"","parse-names":false,"suffix":""}],"container-title":"Jurnal Budgeting","id":"ITEM-1","issue":"2","issued":{"date-parts":[["2023"]]},"note":"From Duplicate 1 (Pengaruh Good Corporate Governance Dan Corporate Social Responsibility Terhadap Kinerja Keuangan - Riswanto, Riswanto)\n\nCited By (since 2022): 5\n\nFrom Duplicate 2 (Pengaruh Good Corporate Governance Dan Corporate Social Responsibility Terhadap Kinerja Keuangan - Riswanto, Riswanto)\n\nCited By (since 2020): 13\n\nFrom Duplicate 3 (Pengaruh Good Corporate Governance Dan Corporate Social Responsibility Terhadap Kinerja Keuangan - Riswanto, Riswanto)\n\nFrom Duplicate 1 (Pengaruh Good Corporate Governance Dan Corporate Social Responsibility Terhadap Kinerja Keuangan - Riswanto, Riswanto)\n\nCited By (since 2022): 7\n\nFrom Duplicate 2 (Pengaruh Good Corporate Governance Dan Corporate Social Responsibility Terhadap Kinerja Keuangan - Riswanto, Riswanto)\n\nCited By (since 2020): 15\n\nFrom Duplicate 3 (Pengaruh Good Corporate Governance Dan Corporate Social Responsibility Terhadap Kinerja Keuangan - Riswanto, Riswanto)\n\nCited By (since 2022): 5\n\nFrom Duplicate 4 (Pengaruh Good Corporate Governance Dan Corporate Social Responsibility Terhadap Kinerja Keuangan - Riswanto, Riswanto)\n\nCited By (since 2020): 13\n\nFrom Duplicate 5 (Pengaruh Good Corporate Governance Dan Corporate Social Responsibility Terhadap Kinerja Keuangan - Riswanto, Riswanto)\n\nCited By (since 2022): 8\n\nFrom Duplicate 4 (Pengaruh Good Corporate Governance Dan Corporate Social Responsibility Terhadap Kinerja Keuangan - Riswanto, Riswanto)\n\nCited By (since 2022): 8\n\nFrom Duplicate 5 (Pengaruh Good Corporate Governance Dan Corporate Social Responsibility Terhadap Kinerja Keuangan - Riswanto, Riswanto)\n\nCited By (since 2022): 7\n\nFrom Duplicate 6 (Pengaruh Good Corporate Governance Dan Corporate Social Responsibility Terhadap Kinerja Keuangan - Riswanto, Riswanto)\n\nCited By (since 2020): 15","page":"80-92","publisher":"ejournal3.undip.ac.id","title":"Pengaruh Good Corporate Governance Dan Corporate Social Responsibility Terhadap Kinerja Keuangan","type":"article-journal","volume":"1"},"uris":["http://www.mendeley.com/documents/?uuid=4effe914-0f94-43f6-aace-6eeb8fa6e364"]}],"mendeley":{"formattedCitation":"(Riswanto, 2023)","plainTextFormattedCitation":"(Riswanto, 2023)","previouslyFormattedCitation":"(Riswanto, 2023)"},"properties":{"noteIndex":0},"schema":"https://github.com/citation-style-language/schema/raw/master/csl-citation.json"}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(Riswanto, 2023)</w:t>
      </w:r>
      <w:r>
        <w:rPr>
          <w:rFonts w:ascii="Cambria" w:eastAsia="Cambria" w:hAnsi="Cambria" w:cs="Cambria"/>
          <w:sz w:val="24"/>
          <w:szCs w:val="24"/>
        </w:rPr>
        <w:fldChar w:fldCharType="end"/>
      </w:r>
      <w:r w:rsidRPr="00223A56">
        <w:rPr>
          <w:rFonts w:ascii="Cambria" w:eastAsia="Cambria" w:hAnsi="Cambria" w:cs="Cambria"/>
          <w:sz w:val="24"/>
          <w:szCs w:val="24"/>
        </w:rPr>
        <w:t>.</w:t>
      </w:r>
    </w:p>
    <w:p w14:paraId="54F1DDFD" w14:textId="657B5D7C" w:rsid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t xml:space="preserve">Untuk meningkatkan nilai BUMN, perusahaan harus mengikuti prinsip-prinsip berikut; kemandirian, transparansi, pertanggungjawaban, akuntabilitas, dan kewajaran, berdasarkan aturan menteri BUMN PER-01/MBU/201 dengan memperhatikan kepentingan semua pemangku kepentingan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{"citationItems":[{"id":"ITEM-1","itemData":{"ISSN":"2686-5610","abstract":"This study aims to examine the effect of good corporate gover-nance on financial performance. The independent variable in this study is good corporate governance which is proxied as board of directors, board of independent commissioners, audit committees, managerial ownerships, and institutional ownerships, while the dependent variable of this study is financial performance which proxied as return on assets (ROA). The sample used in this study were 24 state-owned companies listed on IDX for the 2015-2019 period. The sampling method used is non-probability sampling. This study uses secondary data in the form of annual reports for the 2015-2019 period which obtained from the company's official website. The data collected were then analyzed by multiple linear regressions using SPSS 25. The results of this study show that board of independent commissioners have negative effects on ROA. This means that the greater the number of board independent commissioners, the lower the ROA will be. The results also show that other independent variables, namely board of directors, audit committees, managerial ownerships, and institutional ownerships have no effect on ROA.","author":[{"dropping-particle":"","family":"Megawati","given":"Happy","non-dropping-particle":"","parse-names":false,"suffix":""}],"container-title":"Media Akuntansi dan Perpajakan Indonesia","id":"ITEM-1","issue":"2","issued":{"date-parts":[["2021"]]},"note":"Cited By (since 2021): 8","page":"139-160","publisher":"journal.uc.ac.id","title":"Good Corporate Governance dan Kinerja Keuangan (Studi Empiris pada BUMN di Indonesia)","type":"article","volume":"2"},"uris":["http://www.mendeley.com/documents/?uuid=e21fa848-8760-4617-9daf-f56573a4b85b"]}],"mendeley":{"formattedCitation":"(Megawati, 2021)","plainTextFormattedCitation":"(Megawati, 2021)","previouslyFormattedCitation":"(Megawati, 2021)"},"properties":{"noteIndex":0},"schema":"https://github.com/citation-style-language/schema/raw/master/csl-citation.json"}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(Megawati, 2021)</w:t>
      </w:r>
      <w:r>
        <w:rPr>
          <w:rFonts w:ascii="Cambria" w:eastAsia="Cambria" w:hAnsi="Cambria" w:cs="Cambria"/>
          <w:sz w:val="24"/>
          <w:szCs w:val="24"/>
        </w:rPr>
        <w:fldChar w:fldCharType="end"/>
      </w:r>
      <w:r>
        <w:rPr>
          <w:rFonts w:ascii="Cambria" w:eastAsia="Cambria" w:hAnsi="Cambria" w:cs="Cambria"/>
          <w:sz w:val="24"/>
          <w:szCs w:val="24"/>
        </w:rPr>
        <w:t xml:space="preserve">. </w:t>
      </w:r>
      <w:r w:rsidRPr="00223A56">
        <w:rPr>
          <w:rFonts w:ascii="Cambria" w:eastAsia="Cambria" w:hAnsi="Cambria" w:cs="Cambria"/>
          <w:sz w:val="24"/>
          <w:szCs w:val="24"/>
        </w:rPr>
        <w:t xml:space="preserve">Sejak beberapa dekade terakhir, perhatian terhadap penerapan GCG telah meningkat secara signifikan, baik dari segi regulasi maupun tuntutan pemangku kepentingan. Menganalisis Good Corporate Governance dapat ditinjau dari Komisaris Independen, dewan direksi, kepemilikan institusional, kepemilikan manajerial dan komite audit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{"citationItems":[{"id":"ITEM-1","itemData":{"abstract":"Tujuan penelitian ini adalah untuk mengetahui hubungangood corporate governancedengan kinerja keuangan padaPerbankan di BEI. Jenis penelitian ini adalah kuantitatif. Datayang digunakan merupakan data sekunder. Populasi dalampenelitian ini yaitu laporan keuangan tahunan Perbankan diBEI.  Adapun metode analisis yang digunakan adalah ujideskriptif,  uji  normalitas,  uji  heteroskedastisitas,  ujimultikolinearitas, uji autokorelasi, dan uji linieritas, serta ujiregresi berganda. Hasilnya bahwa komisaris independen,kepemilikan institusional, kepemilikan manajerial, komiteaudit, dan dewan direksi, dapat meningkatkan kinerjakeuangan.","author":[{"dropping-particle":"","family":"Nurhidayah","given":"Vivie","non-dropping-particle":"","parse-names":false,"suffix":""}],"container-title":"Jurnal Riset Mahasiswa Akuntansi","id":"ITEM-1","issue":"02","issued":{"date-parts":[["2020"]]},"page":"132-142","title":"Pengaruhgood Corporate Governanceterhadap Kinerjakeuangan Pada Perbankan Di Bei","type":"article-journal","volume":"01"},"uris":["http://www.mendeley.com/documents/?uuid=dbc9bce1-fa41-43c1-b465-c753e2d63092"]}],"mendeley":{"formattedCitation":"(Nurhidayah, 2020)","plainTextFormattedCitation":"(Nurhidayah, 2020)","previouslyFormattedCitation":"(Nurhidayah, 2020)"},"properties":{"noteIndex":0},"schema":"https://github.com/citation-style-language/schema/raw/master/csl-citation.json"}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(Nurhidayah, 2020)</w:t>
      </w:r>
      <w:r>
        <w:rPr>
          <w:rFonts w:ascii="Cambria" w:eastAsia="Cambria" w:hAnsi="Cambria" w:cs="Cambria"/>
          <w:sz w:val="24"/>
          <w:szCs w:val="24"/>
        </w:rPr>
        <w:fldChar w:fldCharType="end"/>
      </w:r>
    </w:p>
    <w:p w14:paraId="488964B7" w14:textId="3B65644F" w:rsid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t>Salah satu aspek yang menarik dalam konteks GCG adalah kaitannya dengan kinerja keuangan perusahaan. Untuk mengatasi dampak perlambatan ekonomi saat ini dan menjaga keterampilan bersaing di pasar global, warga Indonesia harus menerapkan praktik tata kelola perusahaan yang baik, yang berdampak pada keputusan investasi</w:t>
      </w:r>
      <w:r>
        <w:rPr>
          <w:rFonts w:ascii="Cambria" w:eastAsia="Cambria" w:hAnsi="Cambria" w:cs="Cambria"/>
          <w:sz w:val="24"/>
          <w:szCs w:val="24"/>
        </w:rPr>
        <w:t xml:space="preserve">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{"citationItems":[{"id":"ITEM-1","itemData":{"DOI":"10.47747/jbme.v3i4.834","abstract":"This study aims to find the effect of Good Carporate Governance (GCG) and Carporate Social Responsibility (CSR) on the financial performance of banking companies listed on the Indonesia Stock Exchange (IDX). This study uses a quantitative method with a population of banking companies for the 2018-2020 period and a purposive sampling technique was chosen to determine 20 samples that meet the criteria. Furthermore, the data collection technique uses secondary data from annual reports and financial reports. Meanwhile, the data analysis techniques carried out included descriptive statistical analysis, classical assumption test, regression analysis including hypothesis testing, and coefficient of determination with the help of SPSS version 25 application. The results showed that there was a significant positive effect between the board of directors and financial performance. Meanwhile, no effect was found between Managerial ownership, Independent Commissioner, and CSR in the economic category on financial performance. Furthermore, it was found that there was a simultaneous significant effect between the three variables of GCG and CSR on financial performance with an effect of 31.10%. Finally, this research can have implications for companies in implementing GCG and CSR in the future.","author":[{"dropping-particle":"","family":"Terzaghi","given":"M. Titan","non-dropping-particle":"","parse-names":false,"suffix":""},{"dropping-particle":"","family":"Ikhsan","given":"Rudi","non-dropping-particle":"","parse-names":false,"suffix":""}],"container-title":"Jurnal Bisnis, Manajemen, dan Ekonomi","id":"ITEM-1","issue":"4","issued":{"date-parts":[["2022"]]},"note":"Cited By (since 2022): 4","page":"181-195","publisher":"journal.ipm2kpe.or.id","title":"Pengaruh Good Corporate Governance dan Corporate Social Responsibility Terhadap Kinerja Keuangan Perbankan yang Terdaftar di BEI","type":"article-journal","volume":"3"},"uris":["http://www.mendeley.com/documents/?uuid=75c7cca7-30e2-45db-aee8-a4f629113ed4"]}],"mendeley":{"formattedCitation":"(Terzaghi &amp; Ikhsan, 2022)","plainTextFormattedCitation":"(Terzaghi &amp; Ikhsan, 2022)","previouslyFormattedCitation":"(Terzaghi &amp; Ikhsan, 2022)"},"properties":{"noteIndex":0},"schema":"https://github.com/citation-style-language/schema/raw/master/csl-citation.json"}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(Terzaghi &amp; Ikhsan, 2022)</w:t>
      </w:r>
      <w:r>
        <w:rPr>
          <w:rFonts w:ascii="Cambria" w:eastAsia="Cambria" w:hAnsi="Cambria" w:cs="Cambria"/>
          <w:sz w:val="24"/>
          <w:szCs w:val="24"/>
        </w:rPr>
        <w:fldChar w:fldCharType="end"/>
      </w:r>
      <w:r w:rsidRPr="00223A56">
        <w:rPr>
          <w:rFonts w:ascii="Cambria" w:eastAsia="Cambria" w:hAnsi="Cambria" w:cs="Cambria"/>
          <w:sz w:val="24"/>
          <w:szCs w:val="24"/>
        </w:rPr>
        <w:t xml:space="preserve">. Sejumlah penelitian telah mencoba menjelajahi hubungan ini, tetapi belum ada kesepakatan yang jelas tentang sejauh mana GCG dapat mempengaruhi berbagai dimensi kinerja keuangan, semacam </w:t>
      </w:r>
      <w:r w:rsidRPr="00223A56">
        <w:rPr>
          <w:rFonts w:ascii="Cambria" w:eastAsia="Cambria" w:hAnsi="Cambria" w:cs="Cambria"/>
          <w:i/>
          <w:iCs/>
          <w:sz w:val="24"/>
          <w:szCs w:val="24"/>
        </w:rPr>
        <w:t xml:space="preserve">profitability, likuidity, solvency </w:t>
      </w:r>
      <w:r w:rsidRPr="00223A56">
        <w:rPr>
          <w:rFonts w:ascii="Cambria" w:eastAsia="Cambria" w:hAnsi="Cambria" w:cs="Cambria"/>
          <w:sz w:val="24"/>
          <w:szCs w:val="24"/>
        </w:rPr>
        <w:t>dan</w:t>
      </w:r>
      <w:r w:rsidRPr="00223A56">
        <w:rPr>
          <w:rFonts w:ascii="Cambria" w:eastAsia="Cambria" w:hAnsi="Cambria" w:cs="Cambria"/>
          <w:i/>
          <w:iCs/>
          <w:sz w:val="24"/>
          <w:szCs w:val="24"/>
        </w:rPr>
        <w:t xml:space="preserve"> activity</w:t>
      </w:r>
      <w:r w:rsidRPr="00223A56">
        <w:rPr>
          <w:rFonts w:ascii="Cambria" w:eastAsia="Cambria" w:hAnsi="Cambria" w:cs="Cambria"/>
          <w:sz w:val="24"/>
          <w:szCs w:val="24"/>
        </w:rPr>
        <w:t xml:space="preserve">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{"citationItems":[{"id":"ITEM-1","itemData":{"DOI":"10.1108/AJAR-06-2018-0008","ISSN":"24434175","abstract":"Purpose: The purpose of this paper is to determine the direct influence of the mechanism of good corporate governance (GCG) and corporate social responsibility (CSR) on financial performance as well as through earnings management as a mediating variable. Design/methodology/approach: The data used in this research are secondary data involving 102 companies listed on the Indonesian Stock Exchange for the period 2014. The data used in this study were analyzed using partial least square and carried out with the help of software WarpPLS 5.0. Findings: The results show that the mechanism of GCG and CSR has a positive effect on financial performance as well as the CSR on financial performance. Originality/value: The results also show partial mediation of earnings management on impact of GCG mechanisms on financial performance and full mediation of earnings management on impact of CSR on financial performance.","author":[{"dropping-particle":"","family":"Mahrani","given":"Mayang","non-dropping-particle":"","parse-names":false,"suffix":""},{"dropping-particle":"","family":"Soewarno","given":"Noorlailie","non-dropping-particle":"","parse-names":false,"suffix":""}],"container-title":"Asian Journal of Accounting Research","id":"ITEM-1","issue":"1","issued":{"date-parts":[["2018"]]},"page":"41-60","title":"The effect of good corporate governance mechanism and corporate social responsibility on financial performance with earnings management as mediating variable","type":"article-journal","volume":"3"},"uris":["http://www.mendeley.com/documents/?uuid=6270bf14-5cad-4b36-94b7-a5dfe8441935"]}],"mendeley":{"formattedCitation":"(Mahrani &amp; Soewarno, 2018)","plainTextFormattedCitation":"(Mahrani &amp; Soewarno, 2018)","previouslyFormattedCitation":"(Mahrani &amp; Soewarno, 2018)"},"properties":{"noteIndex":0},"schema":"https://github.com/citation-style-language/schema/raw/master/csl-citation.json"}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(Mahrani &amp; Soewarno, 2018)</w:t>
      </w:r>
      <w:r>
        <w:rPr>
          <w:rFonts w:ascii="Cambria" w:eastAsia="Cambria" w:hAnsi="Cambria" w:cs="Cambria"/>
          <w:sz w:val="24"/>
          <w:szCs w:val="24"/>
        </w:rPr>
        <w:fldChar w:fldCharType="end"/>
      </w:r>
      <w:r>
        <w:rPr>
          <w:rFonts w:ascii="Cambria" w:eastAsia="Cambria" w:hAnsi="Cambria" w:cs="Cambria"/>
          <w:sz w:val="24"/>
          <w:szCs w:val="24"/>
        </w:rPr>
        <w:t>.</w:t>
      </w:r>
    </w:p>
    <w:p w14:paraId="46D0AE7A" w14:textId="3D998048" w:rsid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t>Berdasarkan Keputusan Implementasi Good Corporate Governance (GCG) pada BUMN Nomor KEP-117/M-MBU/2002 oleh Menteri Negara BUMN, perusahaan-perusahaan BUMN diwajibkan secara berkepanjangan mengimplementasikan realisasi tata kelola perusahaan yang baik. Langkah ini diambil sebagai upaya mencapai prinsip-prinsip GCG dengan harapan dapat memperbaiki performa keuangan perusahaan secara keseluruhan</w:t>
      </w:r>
      <w:r>
        <w:rPr>
          <w:rFonts w:ascii="Cambria" w:eastAsia="Cambria" w:hAnsi="Cambria" w:cs="Cambria"/>
          <w:sz w:val="24"/>
          <w:szCs w:val="24"/>
        </w:rPr>
        <w:t xml:space="preserve">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{"citationItems":[{"id":"ITEM-1","itemData":{"DOI":"10.24036/jea.v5i3.795","abstract":"This study aims to determine the effect of good corporate governance on financial performance. The independent variable in this study is good corporate governance which is proxied to be an independent board of commissioners, audit committee, and managerial ownership, while the dependent variable of this study is financial performance which is proxied by Tobin's Q. The subject of this study is BUMN companies, with the study population being all BUMN companies listed on the Indonesia Stock Exchange. The type of data used is secondary data in the form of annual financial reports of BUMN companies listed on the Indonesia Stock Exchange in the period 2019-2021. The technique used for sampling is the purposive sampling and the method used for hypothesis testing is multiple linear regression analysis. The results showed that the independent board of commissioners variable had a significant positive effect on financial performance, the audit committee had no effect on financial performance, and managerial ownership had no effect on financial performance.\r  ","author":[{"dropping-particle":"","family":"Titania","given":"Helin","non-dropping-particle":"","parse-names":false,"suffix":""},{"dropping-particle":"","family":"Taqwa","given":"Salma","non-dropping-particle":"","parse-names":false,"suffix":""}],"container-title":"Jurnal Eksplorasi Akuntansi","id":"ITEM-1","issue":"3","issued":{"date-parts":[["2023"]]},"note":"Cited By (since 2019): 19","page":"1224-1238","title":"Pengaruh Good Corporate Governance terhadap Kinerja Keuangan Perusahaan","type":"article","volume":"5"},"uris":["http://www.mendeley.com/documents/?uuid=9710a897-c5e5-4e19-96db-2507890eec13"]}],"mendeley":{"formattedCitation":"(Titania &amp; Taqwa, 2023)","plainTextFormattedCitation":"(Titania &amp; Taqwa, 2023)","previouslyFormattedCitation":"(Titania &amp; Taqwa, 2023)"},"properties":{"noteIndex":0},"schema":"https://github.com/citation-style-language/schema/raw/master/csl-citation.json"}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(Titania &amp; Taqwa, 2023)</w:t>
      </w:r>
      <w:r>
        <w:rPr>
          <w:rFonts w:ascii="Cambria" w:eastAsia="Cambria" w:hAnsi="Cambria" w:cs="Cambria"/>
          <w:sz w:val="24"/>
          <w:szCs w:val="24"/>
        </w:rPr>
        <w:fldChar w:fldCharType="end"/>
      </w:r>
    </w:p>
    <w:p w14:paraId="2679DF96" w14:textId="2A595947" w:rsid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lastRenderedPageBreak/>
        <w:t>Melakukan sistematis literatur review menjadi langkah yang krusial dalam merangkum temuan-temuan sebelumnya, mengidentifikasi kekosongan pengetahuan, dan menyusun landasan yang kuat untuk penelitian lanjutan</w:t>
      </w:r>
      <w:r>
        <w:rPr>
          <w:rFonts w:ascii="Cambria" w:eastAsia="Cambria" w:hAnsi="Cambria" w:cs="Cambria"/>
          <w:sz w:val="24"/>
          <w:szCs w:val="24"/>
        </w:rPr>
        <w:t xml:space="preserve"> </w:t>
      </w:r>
      <w:r>
        <w:rPr>
          <w:rFonts w:ascii="Cambria" w:eastAsia="Cambria" w:hAnsi="Cambria" w:cs="Cambria"/>
          <w:sz w:val="24"/>
          <w:szCs w:val="24"/>
        </w:rPr>
        <w:fldChar w:fldCharType="begin" w:fldLock="1"/>
      </w:r>
      <w:r w:rsidR="00D80D8A">
        <w:rPr>
          <w:rFonts w:ascii="Cambria" w:eastAsia="Cambria" w:hAnsi="Cambria" w:cs="Cambria"/>
          <w:sz w:val="24"/>
          <w:szCs w:val="24"/>
        </w:rPr>
        <w:instrText>ADDIN CSL_CITATION {"citationItems":[{"id":"ITEM-1","itemData":{"author":[{"dropping-particle":"","family":"Triandini","given":"E","non-dropping-particle":"","parse-names":false,"suffix":""},{"dropping-particle":"","family":"Jayanatha","given":"S","non-dropping-particle":"","parse-names":false,"suffix":""},{"dropping-particle":"","family":"Indrawan","given":"A","non-dropping-particle":"","parse-names":false,"suffix":""},{"dropping-particle":"","family":"Putra","given":"G W","non-dropping-particle":"","parse-names":false,"suffix":""},{"dropping-particle":"","family":"Iswara","given":"B","non-dropping-particle":"","parse-names":false,"suffix":""}],"id":"ITEM-1","issue":"2","issued":{"date-parts":[["2019"]]},"title":"Metode Systematic Literature Review untuk Identifikasi Platform dan Metode Pengembangan Sistem Informasi di Indonesia","type":"article-journal","volume":"1"},"uris":["http://www.mendeley.com/documents/?uuid=3e68b306-9b62-439b-9b6a-a97dad49c93d"]}],"mendeley":{"formattedCitation":"(Triandini et al., 2019)","plainTextFormattedCitation":"(Triandini et al., 2019)","previouslyFormattedCitation":"(Triandini et al., 2019)"},"properties":{"noteIndex":0},"schema":"https://github.com/citation-style-language/schema/raw/master/csl-citation.json"}</w:instrText>
      </w:r>
      <w:r>
        <w:rPr>
          <w:rFonts w:ascii="Cambria" w:eastAsia="Cambria" w:hAnsi="Cambria" w:cs="Cambria"/>
          <w:sz w:val="24"/>
          <w:szCs w:val="24"/>
        </w:rPr>
        <w:fldChar w:fldCharType="separate"/>
      </w:r>
      <w:r w:rsidRPr="00223A56">
        <w:rPr>
          <w:rFonts w:ascii="Cambria" w:eastAsia="Cambria" w:hAnsi="Cambria" w:cs="Cambria"/>
          <w:noProof/>
          <w:sz w:val="24"/>
          <w:szCs w:val="24"/>
        </w:rPr>
        <w:t>(Triandini et al., 2019)</w:t>
      </w:r>
      <w:r>
        <w:rPr>
          <w:rFonts w:ascii="Cambria" w:eastAsia="Cambria" w:hAnsi="Cambria" w:cs="Cambria"/>
          <w:sz w:val="24"/>
          <w:szCs w:val="24"/>
        </w:rPr>
        <w:fldChar w:fldCharType="end"/>
      </w:r>
      <w:r>
        <w:rPr>
          <w:rFonts w:ascii="Cambria" w:eastAsia="Cambria" w:hAnsi="Cambria" w:cs="Cambria"/>
          <w:sz w:val="24"/>
          <w:szCs w:val="24"/>
        </w:rPr>
        <w:t>.</w:t>
      </w:r>
      <w:r w:rsidRPr="00223A56">
        <w:rPr>
          <w:rFonts w:ascii="Cambria" w:eastAsia="Cambria" w:hAnsi="Cambria" w:cs="Cambria"/>
          <w:sz w:val="24"/>
          <w:szCs w:val="24"/>
        </w:rPr>
        <w:t xml:space="preserve"> Dengan merinci metodologi dan pendekatan yang digunakan dalam literatur review, penelitian ini diharapkan dapat menyajikan gambaran komprehensif tentang hubungan antara GCG dan kinerja keuangan.</w:t>
      </w:r>
    </w:p>
    <w:p w14:paraId="02EBC00A" w14:textId="3179BDFA" w:rsidR="00C338F0" w:rsidRPr="00223A56" w:rsidRDefault="00223A56" w:rsidP="00223A56">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223A56">
        <w:rPr>
          <w:rFonts w:ascii="Cambria" w:eastAsia="Cambria" w:hAnsi="Cambria" w:cs="Cambria"/>
          <w:sz w:val="24"/>
          <w:szCs w:val="24"/>
        </w:rPr>
        <w:t>Selain itu, perlu diperhatikan bahwa lingkup penelitian ini tidak hanya terbatas pada satu sektor atau wilayah tertentu, melainkan mencakup berbagai konteks bisnis untuk memperluas generalisabilitas temuan. Dengan memahami keterbatasan dan variabilitas dalam literatur yang ada, penelitian ini semoga bisa memberikan dedikasi yang signifikan bagi pemahaman kita tentang bagaimana GCG memengaruhi kinerja keuangan perusahaan, dan sejauh mana temuan tersebut dapat diaplikasikan dalam berbagai konteks bisnis.</w:t>
      </w:r>
    </w:p>
    <w:p w14:paraId="5B9329C2" w14:textId="76765E7B"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 xml:space="preserve">LITERATURE REVIEW </w:t>
      </w:r>
    </w:p>
    <w:p w14:paraId="6D52029B" w14:textId="77777777" w:rsidR="00D80D8A" w:rsidRDefault="00D80D8A" w:rsidP="00D80D8A">
      <w:pPr>
        <w:numPr>
          <w:ilvl w:val="0"/>
          <w:numId w:val="4"/>
        </w:numPr>
        <w:spacing w:after="60" w:line="276" w:lineRule="auto"/>
        <w:jc w:val="both"/>
        <w:rPr>
          <w:rFonts w:ascii="Cambria" w:eastAsia="Cambria" w:hAnsi="Cambria" w:cs="Cambria"/>
          <w:sz w:val="24"/>
          <w:szCs w:val="24"/>
        </w:rPr>
      </w:pPr>
      <w:r w:rsidRPr="00D80D8A">
        <w:rPr>
          <w:rFonts w:ascii="Cambria" w:eastAsia="Cambria" w:hAnsi="Cambria" w:cs="Cambria"/>
          <w:sz w:val="24"/>
          <w:szCs w:val="24"/>
        </w:rPr>
        <w:t>Teori Keagenan (Agency Theory)</w:t>
      </w:r>
    </w:p>
    <w:p w14:paraId="359D9990" w14:textId="22AAB769" w:rsidR="00D80D8A" w:rsidRDefault="00D80D8A" w:rsidP="00D80D8A">
      <w:pPr>
        <w:spacing w:after="60" w:line="276" w:lineRule="auto"/>
        <w:ind w:left="720"/>
        <w:jc w:val="both"/>
        <w:rPr>
          <w:rFonts w:ascii="Cambria" w:eastAsia="Cambria" w:hAnsi="Cambria" w:cs="Cambria"/>
          <w:sz w:val="24"/>
          <w:szCs w:val="24"/>
        </w:rPr>
      </w:pPr>
      <w:r w:rsidRPr="00D80D8A">
        <w:rPr>
          <w:rFonts w:ascii="Cambria" w:eastAsia="Cambria" w:hAnsi="Cambria" w:cs="Cambria"/>
          <w:sz w:val="24"/>
          <w:szCs w:val="24"/>
        </w:rPr>
        <w:t xml:space="preserve">Jensen dan Meckling (1976) mengatakan bahwa interaksi kontraktual antara prinsip dan agen dijelaskan oleh teori agensi. Sementara agen adalah orang dengan wewenang untuk bertindak atas nama prinsip, prinsip adalah orang yang memberikan wewenangan tersebut. Dalam teori agensi ini dipaparkan  bahwa  ditemukan  dismilaritas  relevansi  antar pemilik  modal  (principal)  dan  manajemen  perusahaan  (agent). Menurut teori agensi, administrasi bisnis (agen) dan kepemilikan modal (prinsip) memiliki kepentingan yang berbeda </w:t>
      </w:r>
      <w:r w:rsidRPr="00D80D8A">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{"citationItems":[{"id":"ITEM-1","itemData":{"ISSN":"2686-5610","abstract":"This study aims to examine the effect of good corporate gover-nance on financial performance. The independent variable in this study is good corporate governance which is proxied as board of directors, board of independent commissioners, audit committees, managerial ownerships, and institutional ownerships, while the dependent variable of this study is financial performance which proxied as return on assets (ROA). The sample used in this study were 24 state-owned companies listed on IDX for the 2015-2019 period. The sampling method used is non-probability sampling. This study uses secondary data in the form of annual reports for the 2015-2019 period which obtained from the company's official website. The data collected were then analyzed by multiple linear regressions using SPSS 25. The results of this study show that board of independent commissioners have negative effects on ROA. This means that the greater the number of board independent commissioners, the lower the ROA will be. The results also show that other independent variables, namely board of directors, audit committees, managerial ownerships, and institutional ownerships have no effect on ROA.","author":[{"dropping-particle":"","family":"Megawati","given":"Happy","non-dropping-particle":"","parse-names":false,"suffix":""}],"container-title":"Media Akuntansi dan Perpajakan Indonesia","id":"ITEM-1","issue":"2","issued":{"date-parts":[["2021"]]},"note":"Cited By (since 2021): 8","page":"139-160","publisher":"journal.uc.ac.id","title":"Good Corporate Governance dan Kinerja Keuangan (Studi Empiris pada BUMN di Indonesia)","type":"article","volume":"2"},"uris":["http://www.mendeley.com/documents/?uuid=e21fa848-8760-4617-9daf-f56573a4b85b"]}],"mendeley":{"formattedCitation":"(Megawati, 2021)","plainTextFormattedCitation":"(Megawati, 2021)","previouslyFormattedCitation":"(Megawati, 2021)"},"properties":{"noteIndex":0},"schema":"https://github.com/citation-style-language/schema/raw/master/csl-citation.json"}</w:instrText>
      </w:r>
      <w:r w:rsidRPr="00D80D8A">
        <w:rPr>
          <w:rFonts w:ascii="Cambria" w:eastAsia="Cambria" w:hAnsi="Cambria" w:cs="Cambria"/>
          <w:sz w:val="24"/>
          <w:szCs w:val="24"/>
        </w:rPr>
        <w:fldChar w:fldCharType="separate"/>
      </w:r>
      <w:r w:rsidRPr="00D80D8A">
        <w:rPr>
          <w:rFonts w:ascii="Cambria" w:eastAsia="Cambria" w:hAnsi="Cambria" w:cs="Cambria"/>
          <w:noProof/>
          <w:sz w:val="24"/>
          <w:szCs w:val="24"/>
        </w:rPr>
        <w:t>(Megawati, 2021)</w:t>
      </w:r>
      <w:r w:rsidRPr="00D80D8A">
        <w:rPr>
          <w:rFonts w:ascii="Cambria" w:eastAsia="Cambria" w:hAnsi="Cambria" w:cs="Cambria"/>
          <w:sz w:val="24"/>
          <w:szCs w:val="24"/>
        </w:rPr>
        <w:fldChar w:fldCharType="end"/>
      </w:r>
      <w:r w:rsidRPr="00D80D8A">
        <w:rPr>
          <w:rFonts w:ascii="Cambria" w:eastAsia="Cambria" w:hAnsi="Cambria" w:cs="Cambria"/>
          <w:sz w:val="24"/>
          <w:szCs w:val="24"/>
        </w:rPr>
        <w:t>.</w:t>
      </w:r>
    </w:p>
    <w:p w14:paraId="38447E5E" w14:textId="39A77281" w:rsidR="00D80D8A" w:rsidRDefault="00D80D8A" w:rsidP="00D80D8A">
      <w:pPr>
        <w:numPr>
          <w:ilvl w:val="0"/>
          <w:numId w:val="4"/>
        </w:numPr>
        <w:spacing w:after="240" w:line="276" w:lineRule="auto"/>
        <w:jc w:val="both"/>
        <w:rPr>
          <w:rFonts w:ascii="Times New Roman" w:hAnsi="Times New Roman" w:cs="Times New Roman"/>
          <w:sz w:val="24"/>
          <w:szCs w:val="24"/>
        </w:rPr>
      </w:pPr>
      <w:r>
        <w:rPr>
          <w:rFonts w:ascii="Times New Roman" w:hAnsi="Times New Roman" w:cs="Times New Roman"/>
          <w:i/>
          <w:iCs/>
          <w:sz w:val="24"/>
          <w:szCs w:val="24"/>
        </w:rPr>
        <w:t>Good Corporate Governance</w:t>
      </w:r>
    </w:p>
    <w:p w14:paraId="4627848C" w14:textId="77777777" w:rsidR="00D80D8A" w:rsidRDefault="00D80D8A" w:rsidP="00D80D8A">
      <w:pPr>
        <w:spacing w:after="240" w:line="276" w:lineRule="auto"/>
        <w:ind w:left="720"/>
        <w:jc w:val="both"/>
        <w:rPr>
          <w:rFonts w:ascii="Times New Roman" w:hAnsi="Times New Roman" w:cs="Times New Roman"/>
          <w:sz w:val="24"/>
          <w:szCs w:val="24"/>
        </w:rPr>
      </w:pPr>
      <w:r w:rsidRPr="0015547D">
        <w:rPr>
          <w:rFonts w:ascii="Times New Roman" w:hAnsi="Times New Roman" w:cs="Times New Roman"/>
          <w:sz w:val="24"/>
          <w:szCs w:val="24"/>
        </w:rPr>
        <w:t>Effendi (2019) mendefinisikan GCG sebagai sistem kontrol internal perusahaan yang mencoba mengelola risiko yang cukup signifikan untuk benar-benar mencapai tujuan bisnis jangka panjang, sementara pada saat yang sama mengamankan aset dan meningkatkan nilai investasi pemegang saham dari waktu ke waktu.</w:t>
      </w:r>
      <w:r w:rsidRPr="00AC2463">
        <w:rPr>
          <w:rFonts w:ascii="Times New Roman" w:hAnsi="Times New Roman" w:cs="Times New Roman"/>
          <w:sz w:val="24"/>
          <w:szCs w:val="24"/>
        </w:rPr>
        <w:t xml:space="preserve"> Untuk mencapai tujuan organisasi, </w:t>
      </w:r>
      <w:r w:rsidRPr="007A074B">
        <w:rPr>
          <w:rFonts w:ascii="Times New Roman" w:hAnsi="Times New Roman" w:cs="Times New Roman"/>
          <w:i/>
          <w:iCs/>
          <w:sz w:val="24"/>
          <w:szCs w:val="24"/>
        </w:rPr>
        <w:t>Good Corporate Governance</w:t>
      </w:r>
      <w:r w:rsidRPr="00AC2463">
        <w:rPr>
          <w:rFonts w:ascii="Times New Roman" w:hAnsi="Times New Roman" w:cs="Times New Roman"/>
          <w:sz w:val="24"/>
          <w:szCs w:val="24"/>
        </w:rPr>
        <w:t xml:space="preserve">, </w:t>
      </w:r>
      <w:r>
        <w:rPr>
          <w:rFonts w:ascii="Times New Roman" w:hAnsi="Times New Roman" w:cs="Times New Roman"/>
          <w:sz w:val="24"/>
          <w:szCs w:val="24"/>
        </w:rPr>
        <w:t>seperti yang dijelaskan</w:t>
      </w:r>
      <w:r w:rsidRPr="00AC2463">
        <w:rPr>
          <w:rFonts w:ascii="Times New Roman" w:hAnsi="Times New Roman" w:cs="Times New Roman"/>
          <w:sz w:val="24"/>
          <w:szCs w:val="24"/>
        </w:rPr>
        <w:t xml:space="preserve"> Sedarmayanti (2012), </w:t>
      </w:r>
      <w:r>
        <w:rPr>
          <w:rFonts w:ascii="Times New Roman" w:hAnsi="Times New Roman" w:cs="Times New Roman"/>
          <w:sz w:val="24"/>
          <w:szCs w:val="24"/>
        </w:rPr>
        <w:t>ialah</w:t>
      </w:r>
      <w:r w:rsidRPr="00AC2463">
        <w:rPr>
          <w:rFonts w:ascii="Times New Roman" w:hAnsi="Times New Roman" w:cs="Times New Roman"/>
          <w:sz w:val="24"/>
          <w:szCs w:val="24"/>
        </w:rPr>
        <w:t xml:space="preserve"> sistem, prosedur, dan kumpulan </w:t>
      </w:r>
      <w:r>
        <w:rPr>
          <w:rFonts w:ascii="Times New Roman" w:hAnsi="Times New Roman" w:cs="Times New Roman"/>
          <w:sz w:val="24"/>
          <w:szCs w:val="24"/>
        </w:rPr>
        <w:t>kebijakan</w:t>
      </w:r>
      <w:r w:rsidRPr="00AC2463">
        <w:rPr>
          <w:rFonts w:ascii="Times New Roman" w:hAnsi="Times New Roman" w:cs="Times New Roman"/>
          <w:sz w:val="24"/>
          <w:szCs w:val="24"/>
        </w:rPr>
        <w:t xml:space="preserve"> yang mengendalikan </w:t>
      </w:r>
      <w:r>
        <w:rPr>
          <w:rFonts w:ascii="Times New Roman" w:hAnsi="Times New Roman" w:cs="Times New Roman"/>
          <w:sz w:val="24"/>
          <w:szCs w:val="24"/>
        </w:rPr>
        <w:t>kaitan</w:t>
      </w:r>
      <w:r w:rsidRPr="00AC2463">
        <w:rPr>
          <w:rFonts w:ascii="Times New Roman" w:hAnsi="Times New Roman" w:cs="Times New Roman"/>
          <w:sz w:val="24"/>
          <w:szCs w:val="24"/>
        </w:rPr>
        <w:t xml:space="preserve"> antar</w:t>
      </w:r>
      <w:r>
        <w:rPr>
          <w:rFonts w:ascii="Times New Roman" w:hAnsi="Times New Roman" w:cs="Times New Roman"/>
          <w:sz w:val="24"/>
          <w:szCs w:val="24"/>
        </w:rPr>
        <w:t xml:space="preserve"> </w:t>
      </w:r>
      <w:r w:rsidRPr="00AC2463">
        <w:rPr>
          <w:rFonts w:ascii="Times New Roman" w:hAnsi="Times New Roman" w:cs="Times New Roman"/>
          <w:sz w:val="24"/>
          <w:szCs w:val="24"/>
        </w:rPr>
        <w:t xml:space="preserve">stakeholder, </w:t>
      </w:r>
      <w:r>
        <w:rPr>
          <w:rFonts w:ascii="Times New Roman" w:hAnsi="Times New Roman" w:cs="Times New Roman"/>
          <w:sz w:val="24"/>
          <w:szCs w:val="24"/>
        </w:rPr>
        <w:t>apalagi</w:t>
      </w:r>
      <w:r w:rsidRPr="00AC2463">
        <w:rPr>
          <w:rFonts w:ascii="Times New Roman" w:hAnsi="Times New Roman" w:cs="Times New Roman"/>
          <w:sz w:val="24"/>
          <w:szCs w:val="24"/>
        </w:rPr>
        <w:t xml:space="preserve"> dalam </w:t>
      </w:r>
      <w:r>
        <w:rPr>
          <w:rFonts w:ascii="Times New Roman" w:hAnsi="Times New Roman" w:cs="Times New Roman"/>
          <w:sz w:val="24"/>
          <w:szCs w:val="24"/>
        </w:rPr>
        <w:t>definisi</w:t>
      </w:r>
      <w:r w:rsidRPr="00AC2463">
        <w:rPr>
          <w:rFonts w:ascii="Times New Roman" w:hAnsi="Times New Roman" w:cs="Times New Roman"/>
          <w:sz w:val="24"/>
          <w:szCs w:val="24"/>
        </w:rPr>
        <w:t xml:space="preserve"> terbatas, </w:t>
      </w:r>
      <w:r>
        <w:rPr>
          <w:rFonts w:ascii="Times New Roman" w:hAnsi="Times New Roman" w:cs="Times New Roman"/>
          <w:sz w:val="24"/>
          <w:szCs w:val="24"/>
        </w:rPr>
        <w:t>kaitan</w:t>
      </w:r>
      <w:r w:rsidRPr="00AC2463">
        <w:rPr>
          <w:rFonts w:ascii="Times New Roman" w:hAnsi="Times New Roman" w:cs="Times New Roman"/>
          <w:sz w:val="24"/>
          <w:szCs w:val="24"/>
        </w:rPr>
        <w:t xml:space="preserve"> antara pemegang saham, dewan komisioner, dan dewan direksi.</w:t>
      </w:r>
      <w:r>
        <w:rPr>
          <w:rFonts w:ascii="Times New Roman" w:hAnsi="Times New Roman" w:cs="Times New Roman"/>
          <w:sz w:val="24"/>
          <w:szCs w:val="24"/>
        </w:rPr>
        <w:t xml:space="preserve"> Sedangkan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{"citationItems":[{"id":"ITEM-1","itemData":{"DOI":"10.33059/jensi.v5i1.3799","ISSN":"2615-1227","abstract":"The implementation of GCG is a concept that regulates the behavior of bank actors, namely company owners, management in carrying out their respective duties and responsibilities to minimize agency problems which in turn can improve the company's financial performance. This study aims to analyze the implementation of good corporate governance in improving financial performance at Islamic Commercial Banks for the 2012-2018 period. The study uses secondary data, namely the financial statements of Islamic Commercial Banks consistently published in the research period, namely 8 Islamic Commercial Banks. Based on the results of data analysis with the help of the eviews application, the results show that the implementation of good corporate governance has no effect on financial performance at Islamic Commercial Banks for the 2012-2018 period.\r Keywords: GCG, Financial Performance, BUS","author":[{"dropping-particle":"","family":"Budi gautama Siregar","given":"","non-dropping-particle":"","parse-names":false,"suffix":""}],"container-title":"Jurnal Penelitian Ekonomi Akuntansi (JENSI)","id":"ITEM-1","issue":"1","issued":{"date-parts":[["2021"]]},"note":"From Duplicate 1 (Analisis Penerapan Good Corporate Governance Dalam Meningkatkan Kinerja Keuangan Perusahaan - Budi gautama Siregar)\n\nCited By (since 2021): 19\n\nFrom Duplicate 2 (Analisis Penerapan Good Corporate Governance Dalam Meningkatkan Kinerja Keuangan Perusahaan - Budi gautama Siregar)\n\nFrom Duplicate 2 (Analisis Penerapan Good Corporate Governance Dalam Meningkatkan Kinerja Keuangan Perusahaan - Budi gautama Siregar)\n\nCited By (since 2021): 19","page":"31-41","publisher":"jurnal.fisarresearch.or.id","title":"Analisis Penerapan Good Corporate Governance Dalam Meningkatkan Kinerja Keuangan Perusahaan","type":"article-journal","volume":"5"},"uris":["http://www.mendeley.com/documents/?uuid=a601ff7b-0f27-4337-9b0e-47b550911a27"]}],"mendeley":{"formattedCitation":"(Budi gautama Siregar, 2021)","plainTextFormattedCitation":"(Budi gautama Siregar, 2021)","previouslyFormattedCitation":"(Budi gautama Siregar, 2021)"},"properties":{"noteIndex":0},"schema":"https://github.com/citation-style-language/schema/raw/master/csl-citation.json"}</w:instrText>
      </w:r>
      <w:r>
        <w:rPr>
          <w:rFonts w:ascii="Times New Roman" w:hAnsi="Times New Roman" w:cs="Times New Roman"/>
          <w:sz w:val="24"/>
          <w:szCs w:val="24"/>
        </w:rPr>
        <w:fldChar w:fldCharType="separate"/>
      </w:r>
      <w:r w:rsidRPr="00876826">
        <w:rPr>
          <w:rFonts w:ascii="Times New Roman" w:hAnsi="Times New Roman" w:cs="Times New Roman"/>
          <w:noProof/>
          <w:sz w:val="24"/>
          <w:szCs w:val="24"/>
        </w:rPr>
        <w:t>(Budi gautama Siregar, 2021)</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bahwa </w:t>
      </w:r>
      <w:r w:rsidRPr="00876826">
        <w:rPr>
          <w:rFonts w:ascii="Times New Roman" w:hAnsi="Times New Roman" w:cs="Times New Roman"/>
          <w:sz w:val="24"/>
          <w:szCs w:val="24"/>
        </w:rPr>
        <w:t>GCG merupakan sebuah mekanisme untuk memastikan bahwa manajemen telah secara strategis dan tepat mengelola bisnisnya untuk mengembangkannya</w:t>
      </w:r>
      <w:r>
        <w:rPr>
          <w:rFonts w:ascii="Times New Roman" w:hAnsi="Times New Roman" w:cs="Times New Roman"/>
          <w:sz w:val="24"/>
          <w:szCs w:val="24"/>
        </w:rPr>
        <w:t>.</w:t>
      </w:r>
    </w:p>
    <w:p w14:paraId="0CD2B704" w14:textId="77777777" w:rsidR="00D80D8A" w:rsidRDefault="00D80D8A" w:rsidP="00D80D8A">
      <w:pPr>
        <w:numPr>
          <w:ilvl w:val="0"/>
          <w:numId w:val="4"/>
        </w:numPr>
        <w:spacing w:after="240" w:line="276" w:lineRule="auto"/>
        <w:jc w:val="both"/>
        <w:rPr>
          <w:rFonts w:ascii="Times New Roman" w:hAnsi="Times New Roman" w:cs="Times New Roman"/>
          <w:sz w:val="24"/>
          <w:szCs w:val="24"/>
        </w:rPr>
      </w:pPr>
      <w:r w:rsidRPr="00D80D8A">
        <w:rPr>
          <w:rFonts w:ascii="Cambria" w:eastAsia="Cambria" w:hAnsi="Cambria" w:cs="Cambria"/>
          <w:sz w:val="24"/>
          <w:szCs w:val="24"/>
        </w:rPr>
        <w:t>Kinerja Keuangan</w:t>
      </w:r>
    </w:p>
    <w:p w14:paraId="0341E12E" w14:textId="07A9BBF9" w:rsidR="00D80D8A" w:rsidRPr="00D80D8A" w:rsidRDefault="00D80D8A" w:rsidP="00D80D8A">
      <w:pPr>
        <w:spacing w:after="240" w:line="276" w:lineRule="auto"/>
        <w:ind w:left="720"/>
        <w:jc w:val="both"/>
        <w:rPr>
          <w:rFonts w:ascii="Times New Roman" w:hAnsi="Times New Roman" w:cs="Times New Roman"/>
          <w:sz w:val="24"/>
          <w:szCs w:val="24"/>
        </w:rPr>
      </w:pPr>
      <w:r w:rsidRPr="00D80D8A">
        <w:rPr>
          <w:rFonts w:ascii="Cambria" w:eastAsia="Cambria" w:hAnsi="Cambria" w:cs="Cambria"/>
          <w:sz w:val="24"/>
          <w:szCs w:val="24"/>
        </w:rPr>
        <w:t xml:space="preserve">Proses menentukan metrik spesifik yang dapat digunakan untuk mengukur profitabilitas perusahaan dikenal sebagai kinerja keuangan diskatakan oleh Sucipto (2003). Kinerja keuangan yaitu “penjabaran yang digunakan untuk mengetahui apakah sebuah perusahaan telah mengimplementasikan kebijakan eksekusi keuangan dengan baik dan benar,” menurut Irham Fahmi. (2018:142). Menurut </w:t>
      </w:r>
      <w:r>
        <w:rPr>
          <w:rFonts w:ascii="Cambria" w:eastAsia="Cambria" w:hAnsi="Cambria" w:cs="Cambria"/>
          <w:sz w:val="24"/>
          <w:szCs w:val="24"/>
        </w:rPr>
        <w:fldChar w:fldCharType="begin" w:fldLock="1"/>
      </w:r>
      <w:r w:rsidR="004E08B9">
        <w:rPr>
          <w:rFonts w:ascii="Cambria" w:eastAsia="Cambria" w:hAnsi="Cambria" w:cs="Cambria"/>
          <w:sz w:val="24"/>
          <w:szCs w:val="24"/>
        </w:rPr>
        <w:instrText>ADDIN CSL_CITATION {"citationItems":[{"id":"ITEM-1","itemData":{"DOI":"10.51510/budgeting.v1i2.476","abstract":"Tujuan dari penelitian ini adalah untuk mengetahui pengaruh Good Corporate Governance yang terdiri kepemilikan manajerial, kepemilikan institusional, dan pengaruh pengungkapan Corporate Social Responsibility terhadap kinerja keuangan pada perusahaan manufaktur yang terdaftar di bursa efek indonesia dari tahun 2016-2019. Metode yang digunakan dalam menentukan sampel yaitu dengan menggunakan metode purposive sampling dan diperoleh sampel sebanyak 37 perusahaan. Penelitian ini menggunakan data sekunder yang diperoleh dari laporan tahunan yang dipublikasikan melalui website resmi Bursa Efek Indonesia www.idx.com tahun 2016-2019. Metode analisis pada penelitian ini adalah analisis regresi berganda. Hasil dari penelitian ini menunjukkan bahwa: (1) Kepemilikan manajerial berpengaruh terhadap kinerja keuangan. (2) Kepemilikan institusional tidak berpengaruh terhadap kinerja keuangan. (3) Pengungkapan  Corporate Social Responsibility berpengaruh terhadap kinerja keuangan.","author":[{"dropping-particle":"","family":"Riswanto","given":"Riswanto","non-dropping-particle":"","parse-names":false,"suffix":""}],"container-title":"Jurnal Budgeting","id":"ITEM-1","issue":"2","issued":{"date-parts":[["2023"]]},"note":"From Duplicate 1 (Pengaruh Good Corporate Governance Dan Corporate Social Responsibility Terhadap Kinerja Keuangan - Riswanto, Riswanto)\n\nCited By (since 2022): 5\n\nFrom Duplicate 2 (Pengaruh Good Corporate Governance Dan Corporate Social Responsibility Terhadap Kinerja Keuangan - Riswanto, Riswanto)\n\nCited By (since 2020): 13\n\nFrom Duplicate 3 (Pengaruh Good Corporate Governance Dan Corporate Social Responsibility Terhadap Kinerja Keuangan - Riswanto, Riswanto)\n\nFrom Duplicate 1 (Pengaruh Good Corporate Governance Dan Corporate Social Responsibility Terhadap Kinerja Keuangan - Riswanto, Riswanto)\n\nCited By (since 2022): 7\n\nFrom Duplicate 2 (Pengaruh Good Corporate Governance Dan Corporate Social Responsibility Terhadap Kinerja Keuangan - Riswanto, Riswanto)\n\nCited By (since 2020): 15\n\nFrom Duplicate 3 (Pengaruh Good Corporate Governance Dan Corporate Social Responsibility Terhadap Kinerja Keuangan - Riswanto, Riswanto)\n\nCited By (since 2022): 5\n\nFrom Duplicate 4 (Pengaruh Good Corporate Governance Dan Corporate Social Responsibility Terhadap Kinerja Keuangan - Riswanto, Riswanto)\n\nCited By (since 2020): 13\n\nFrom Duplicate 5 (Pengaruh Good Corporate Governance Dan Corporate Social Responsibility Terhadap Kinerja Keuangan - Riswanto, Riswanto)\n\nCited By (since 2022): 8\n\nFrom Duplicate 4 (Pengaruh Good Corporate Governance Dan Corporate Social Responsibility Terhadap Kinerja Keuangan - Riswanto, Riswanto)\n\nCited By (since 2022): 8\n\nFrom Duplicate 5 (Pengaruh Good Corporate Governance Dan Corporate Social Responsibility Terhadap Kinerja Keuangan - Riswanto, Riswanto)\n\nCited By (since 2022): 7\n\nFrom Duplicate 6 (Pengaruh Good Corporate Governance Dan Corporate Social Responsibility Terhadap Kinerja Keuangan - Riswanto, Riswanto)\n\nCited By (since 2020): 15","page":"80-92","publisher":"ejournal3.undip.ac.id","title":"Pengaruh Good Corporate Governance Dan Corporate Social Responsibility Terhadap Kinerja Keuangan","type":"article-journal","volume":"1"},"uris":["http://www.mendeley.com/documents/?uuid=4effe914-0f94-43f6-aace-6eeb8fa6e364"]}],"mendeley":{"formattedCitation":"(Riswanto, 2023)","plainTextFormattedCitation":"(Riswanto, 2023)","previouslyFormattedCitation":"(Riswanto, 2023)"},"properties":{"noteIndex":0},"schema":"https://github.com/citation-style-language/schema/raw/master/csl-citation.json"}</w:instrText>
      </w:r>
      <w:r>
        <w:rPr>
          <w:rFonts w:ascii="Cambria" w:eastAsia="Cambria" w:hAnsi="Cambria" w:cs="Cambria"/>
          <w:sz w:val="24"/>
          <w:szCs w:val="24"/>
        </w:rPr>
        <w:fldChar w:fldCharType="separate"/>
      </w:r>
      <w:r w:rsidRPr="00D80D8A">
        <w:rPr>
          <w:rFonts w:ascii="Cambria" w:eastAsia="Cambria" w:hAnsi="Cambria" w:cs="Cambria"/>
          <w:noProof/>
          <w:sz w:val="24"/>
          <w:szCs w:val="24"/>
        </w:rPr>
        <w:t>(Riswanto, 2023)</w:t>
      </w:r>
      <w:r>
        <w:rPr>
          <w:rFonts w:ascii="Cambria" w:eastAsia="Cambria" w:hAnsi="Cambria" w:cs="Cambria"/>
          <w:sz w:val="24"/>
          <w:szCs w:val="24"/>
        </w:rPr>
        <w:fldChar w:fldCharType="end"/>
      </w:r>
      <w:r>
        <w:rPr>
          <w:rFonts w:ascii="Cambria" w:eastAsia="Cambria" w:hAnsi="Cambria" w:cs="Cambria"/>
          <w:sz w:val="24"/>
          <w:szCs w:val="24"/>
        </w:rPr>
        <w:t xml:space="preserve"> </w:t>
      </w:r>
      <w:r w:rsidRPr="00D80D8A">
        <w:rPr>
          <w:rFonts w:ascii="Cambria" w:eastAsia="Cambria" w:hAnsi="Cambria" w:cs="Cambria"/>
          <w:sz w:val="24"/>
          <w:szCs w:val="24"/>
        </w:rPr>
        <w:t xml:space="preserve">menjelaskan Rasio solvabilitas mengukur kemampuan entitas </w:t>
      </w:r>
      <w:r w:rsidRPr="00D80D8A">
        <w:rPr>
          <w:rFonts w:ascii="Cambria" w:eastAsia="Cambria" w:hAnsi="Cambria" w:cs="Cambria"/>
          <w:sz w:val="24"/>
          <w:szCs w:val="24"/>
        </w:rPr>
        <w:lastRenderedPageBreak/>
        <w:t>untuk memenuhi kewajiban keuangan, rasio profitabilitas mencerminkan efisiensi dalam menghasilkan laba, dan rasio pasar memberikan gambaran tentang bagaimana pasar menilai nilai perusahaan melalui harga sahamnya. Ketiga rasio ini membantu menganalisis kinerja keuangan dan daya tarik investasi suatu entitas.</w:t>
      </w:r>
    </w:p>
    <w:p w14:paraId="178F294E" w14:textId="77777777" w:rsidR="00A27BA3" w:rsidRDefault="00000000">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7D72AD9A" w14:textId="5B3321BF" w:rsidR="004613C7" w:rsidRPr="00497A00" w:rsidRDefault="004613C7" w:rsidP="00497A00">
      <w:pPr>
        <w:spacing w:after="0" w:line="276" w:lineRule="auto"/>
        <w:jc w:val="both"/>
        <w:rPr>
          <w:rFonts w:ascii="Cambria" w:hAnsi="Cambria" w:cs="Times New Roman"/>
          <w:sz w:val="24"/>
          <w:szCs w:val="24"/>
        </w:rPr>
      </w:pPr>
      <w:r w:rsidRPr="00497A00">
        <w:rPr>
          <w:rFonts w:ascii="Cambria" w:hAnsi="Cambria" w:cs="Times New Roman"/>
          <w:sz w:val="24"/>
          <w:szCs w:val="24"/>
        </w:rPr>
        <w:t>Desain penelitian yang dipakai yaitu systematic literatur review ialah menggunakan metode SLR yang mengikuti tahapan penelitian PRISMA yang dapat digambarkan sebagai berikut :</w:t>
      </w:r>
    </w:p>
    <w:p w14:paraId="0C3F2FB2" w14:textId="5BB0A433" w:rsidR="004613C7" w:rsidRPr="00497A00" w:rsidRDefault="004613C7" w:rsidP="00497A00">
      <w:pPr>
        <w:pStyle w:val="SAP-Paragraph"/>
        <w:suppressAutoHyphens/>
        <w:spacing w:line="276" w:lineRule="auto"/>
        <w:ind w:firstLineChars="0" w:firstLine="0"/>
        <w:rPr>
          <w:rFonts w:ascii="Cambria" w:hAnsi="Cambria"/>
          <w:sz w:val="22"/>
          <w:szCs w:val="22"/>
          <w:lang w:val="en-GB"/>
        </w:rPr>
      </w:pPr>
      <w:r w:rsidRPr="00497A00">
        <w:rPr>
          <w:rFonts w:ascii="Cambria" w:hAnsi="Cambria"/>
          <w:noProof/>
        </w:rPr>
        <mc:AlternateContent>
          <mc:Choice Requires="wps">
            <w:drawing>
              <wp:anchor distT="0" distB="0" distL="114300" distR="114300" simplePos="0" relativeHeight="251669504" behindDoc="0" locked="0" layoutInCell="1" allowOverlap="1" wp14:anchorId="7DE109AC" wp14:editId="3D3D09BD">
                <wp:simplePos x="0" y="0"/>
                <wp:positionH relativeFrom="column">
                  <wp:posOffset>2788920</wp:posOffset>
                </wp:positionH>
                <wp:positionV relativeFrom="paragraph">
                  <wp:posOffset>3520439</wp:posOffset>
                </wp:positionV>
                <wp:extent cx="1666875" cy="790575"/>
                <wp:effectExtent l="0" t="0" r="28575" b="28575"/>
                <wp:wrapNone/>
                <wp:docPr id="1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6875" cy="790575"/>
                        </a:xfrm>
                        <a:prstGeom prst="rect">
                          <a:avLst/>
                        </a:prstGeom>
                        <a:solidFill>
                          <a:srgbClr val="FFFFFF"/>
                        </a:solidFill>
                        <a:ln w="9525">
                          <a:solidFill>
                            <a:srgbClr val="000000"/>
                          </a:solidFill>
                          <a:miter lim="800000"/>
                          <a:headEnd/>
                          <a:tailEnd/>
                        </a:ln>
                      </wps:spPr>
                      <wps:txbx>
                        <w:txbxContent>
                          <w:p w14:paraId="625216F1"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excluded:</w:t>
                            </w:r>
                          </w:p>
                          <w:p w14:paraId="024716F6" w14:textId="77777777" w:rsidR="004613C7" w:rsidRPr="00497A00" w:rsidRDefault="004613C7" w:rsidP="004613C7">
                            <w:pPr>
                              <w:jc w:val="center"/>
                              <w:rPr>
                                <w:rFonts w:ascii="Cambria" w:hAnsi="Cambria"/>
                                <w:sz w:val="20"/>
                                <w:szCs w:val="20"/>
                              </w:rPr>
                            </w:pPr>
                            <w:r w:rsidRPr="00497A00">
                              <w:rPr>
                                <w:rFonts w:ascii="Cambria" w:hAnsi="Cambria"/>
                                <w:sz w:val="20"/>
                                <w:szCs w:val="20"/>
                              </w:rPr>
                              <w:t>(n=   55  )</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ect w14:anchorId="7DE109AC" id="Rectangle 27" o:spid="_x0000_s1026" style="position:absolute;left:0;text-align:left;margin-left:219.6pt;margin-top:277.2pt;width:131.25pt;height:6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">
                <v:path arrowok="t"/>
                <v:textbox inset=",7.2pt,,7.2pt">
                  <w:txbxContent>
                    <w:p w14:paraId="625216F1"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excluded:</w:t>
                      </w:r>
                    </w:p>
                    <w:p w14:paraId="024716F6" w14:textId="77777777" w:rsidR="004613C7" w:rsidRPr="00497A00" w:rsidRDefault="004613C7" w:rsidP="004613C7">
                      <w:pPr>
                        <w:jc w:val="center"/>
                        <w:rPr>
                          <w:rFonts w:ascii="Cambria" w:hAnsi="Cambria"/>
                          <w:sz w:val="20"/>
                          <w:szCs w:val="20"/>
                        </w:rPr>
                      </w:pPr>
                      <w:r w:rsidRPr="00497A00">
                        <w:rPr>
                          <w:rFonts w:ascii="Cambria" w:hAnsi="Cambria"/>
                          <w:sz w:val="20"/>
                          <w:szCs w:val="20"/>
                        </w:rPr>
                        <w:t>(n=   55  )</w:t>
                      </w:r>
                    </w:p>
                  </w:txbxContent>
                </v:textbox>
              </v:rect>
            </w:pict>
          </mc:Fallback>
        </mc:AlternateContent>
      </w:r>
      <w:r w:rsidRPr="00497A00">
        <w:rPr>
          <w:rFonts w:ascii="Cambria" w:hAnsi="Cambria"/>
          <w:noProof/>
        </w:rPr>
        <mc:AlternateContent>
          <mc:Choice Requires="wps">
            <w:drawing>
              <wp:anchor distT="0" distB="0" distL="114300" distR="114300" simplePos="0" relativeHeight="251663360" behindDoc="0" locked="0" layoutInCell="1" allowOverlap="1" wp14:anchorId="69AB740B" wp14:editId="718FC8C6">
                <wp:simplePos x="0" y="0"/>
                <wp:positionH relativeFrom="column">
                  <wp:posOffset>2225040</wp:posOffset>
                </wp:positionH>
                <wp:positionV relativeFrom="paragraph">
                  <wp:posOffset>2491740</wp:posOffset>
                </wp:positionV>
                <wp:extent cx="589915" cy="0"/>
                <wp:effectExtent l="0" t="76200" r="19685" b="95250"/>
                <wp:wrapNone/>
                <wp:docPr id="15" name="Straight Connector 85"/>
                <wp:cNvGraphicFramePr/>
                <a:graphic xmlns:a="http://schemas.openxmlformats.org/drawingml/2006/main">
                  <a:graphicData uri="http://schemas.microsoft.com/office/word/2010/wordprocessingShape">
                    <wps:wsp>
                      <wps:cNvCnPr/>
                      <wps:spPr>
                        <a:xfrm flipV="1">
                          <a:off x="0" y="0"/>
                          <a:ext cx="589915" cy="0"/>
                        </a:xfrm>
                        <a:prstGeom prst="line">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F1E50" id="Straight Connector 8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196.2pt" to="221.65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" strokecolor="black [3200]">
                <v:stroke endarrow="block" joinstyle="miter"/>
              </v:line>
            </w:pict>
          </mc:Fallback>
        </mc:AlternateContent>
      </w:r>
      <w:r w:rsidRPr="00497A00">
        <w:rPr>
          <w:rFonts w:ascii="Cambria" w:hAnsi="Cambria"/>
          <w:noProof/>
        </w:rPr>
        <mc:AlternateContent>
          <mc:Choice Requires="wps">
            <w:drawing>
              <wp:anchor distT="0" distB="0" distL="114300" distR="114300" simplePos="0" relativeHeight="251666432" behindDoc="0" locked="0" layoutInCell="1" allowOverlap="1" wp14:anchorId="34163AA8" wp14:editId="53D51A11">
                <wp:simplePos x="0" y="0"/>
                <wp:positionH relativeFrom="column">
                  <wp:posOffset>750570</wp:posOffset>
                </wp:positionH>
                <wp:positionV relativeFrom="paragraph">
                  <wp:posOffset>3550920</wp:posOffset>
                </wp:positionV>
                <wp:extent cx="1441450" cy="771525"/>
                <wp:effectExtent l="0" t="0" r="25400" b="28575"/>
                <wp:wrapNone/>
                <wp:docPr id="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771525"/>
                        </a:xfrm>
                        <a:prstGeom prst="rect">
                          <a:avLst/>
                        </a:prstGeom>
                        <a:solidFill>
                          <a:srgbClr val="FFFFFF"/>
                        </a:solidFill>
                        <a:ln w="9525">
                          <a:solidFill>
                            <a:srgbClr val="000000"/>
                          </a:solidFill>
                          <a:miter lim="800000"/>
                          <a:headEnd/>
                          <a:tailEnd/>
                        </a:ln>
                      </wps:spPr>
                      <wps:txbx>
                        <w:txbxContent>
                          <w:p w14:paraId="7C48950F"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screened based on full text</w:t>
                            </w:r>
                          </w:p>
                          <w:p w14:paraId="078B5B6A" w14:textId="77777777" w:rsidR="004613C7" w:rsidRPr="00497A00" w:rsidRDefault="004613C7" w:rsidP="004613C7">
                            <w:pPr>
                              <w:jc w:val="center"/>
                              <w:rPr>
                                <w:rFonts w:ascii="Cambria" w:hAnsi="Cambria"/>
                              </w:rPr>
                            </w:pPr>
                            <w:r w:rsidRPr="00497A00">
                              <w:rPr>
                                <w:rFonts w:ascii="Cambria" w:hAnsi="Cambria"/>
                                <w:sz w:val="20"/>
                                <w:szCs w:val="20"/>
                              </w:rPr>
                              <w:t>(n=  15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163AA8" id="Rectangle 44" o:spid="_x0000_s1027" style="position:absolute;left:0;text-align:left;margin-left:59.1pt;margin-top:279.6pt;width:113.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">
                <v:path arrowok="t"/>
                <v:textbox inset=",7.2pt,,7.2pt">
                  <w:txbxContent>
                    <w:p w14:paraId="7C48950F"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screened based on full text</w:t>
                      </w:r>
                    </w:p>
                    <w:p w14:paraId="078B5B6A" w14:textId="77777777" w:rsidR="004613C7" w:rsidRPr="00497A00" w:rsidRDefault="004613C7" w:rsidP="004613C7">
                      <w:pPr>
                        <w:jc w:val="center"/>
                        <w:rPr>
                          <w:rFonts w:ascii="Cambria" w:hAnsi="Cambria"/>
                        </w:rPr>
                      </w:pPr>
                      <w:r w:rsidRPr="00497A00">
                        <w:rPr>
                          <w:rFonts w:ascii="Cambria" w:hAnsi="Cambria"/>
                          <w:sz w:val="20"/>
                          <w:szCs w:val="20"/>
                        </w:rPr>
                        <w:t>(n=  15   )</w:t>
                      </w:r>
                    </w:p>
                  </w:txbxContent>
                </v:textbox>
              </v:rect>
            </w:pict>
          </mc:Fallback>
        </mc:AlternateContent>
      </w:r>
      <w:r w:rsidRPr="00497A00">
        <w:rPr>
          <w:rFonts w:ascii="Cambria" w:hAnsi="Cambria"/>
          <w:noProof/>
        </w:rPr>
        <mc:AlternateContent>
          <mc:Choice Requires="wps">
            <w:drawing>
              <wp:anchor distT="0" distB="0" distL="114300" distR="114300" simplePos="0" relativeHeight="251670528" behindDoc="0" locked="0" layoutInCell="1" allowOverlap="1" wp14:anchorId="3155F29E" wp14:editId="49495537">
                <wp:simplePos x="0" y="0"/>
                <wp:positionH relativeFrom="column">
                  <wp:posOffset>1460500</wp:posOffset>
                </wp:positionH>
                <wp:positionV relativeFrom="paragraph">
                  <wp:posOffset>2917190</wp:posOffset>
                </wp:positionV>
                <wp:extent cx="6350" cy="657225"/>
                <wp:effectExtent l="38100" t="0" r="69850" b="47625"/>
                <wp:wrapNone/>
                <wp:docPr id="13" name="Straight Arrow Connector 13"/>
                <wp:cNvGraphicFramePr/>
                <a:graphic xmlns:a="http://schemas.openxmlformats.org/drawingml/2006/main">
                  <a:graphicData uri="http://schemas.microsoft.com/office/word/2010/wordprocessingShape">
                    <wps:wsp>
                      <wps:cNvCnPr/>
                      <wps:spPr>
                        <a:xfrm>
                          <a:off x="0" y="0"/>
                          <a:ext cx="6350" cy="6572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45E89F" id="_x0000_t32" coordsize="21600,21600" o:spt="32" o:oned="t" path="m,l21600,21600e" filled="f">
                <v:path arrowok="t" fillok="f" o:connecttype="none"/>
                <o:lock v:ext="edit" shapetype="t"/>
              </v:shapetype>
              <v:shape id="Straight Arrow Connector 13" o:spid="_x0000_s1026" type="#_x0000_t32" style="position:absolute;margin-left:115pt;margin-top:229.7pt;width:.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" strokecolor="black [3213]">
                <v:stroke endarrow="block" joinstyle="miter"/>
              </v:shape>
            </w:pict>
          </mc:Fallback>
        </mc:AlternateContent>
      </w:r>
      <w:r w:rsidRPr="00497A00">
        <w:rPr>
          <w:rFonts w:ascii="Cambria" w:hAnsi="Cambria"/>
          <w:noProof/>
        </w:rPr>
        <mc:AlternateContent>
          <mc:Choice Requires="wps">
            <w:drawing>
              <wp:anchor distT="0" distB="0" distL="114300" distR="114300" simplePos="0" relativeHeight="251662336" behindDoc="0" locked="0" layoutInCell="1" allowOverlap="1" wp14:anchorId="1D56F334" wp14:editId="2BBCCBA9">
                <wp:simplePos x="0" y="0"/>
                <wp:positionH relativeFrom="column">
                  <wp:posOffset>760095</wp:posOffset>
                </wp:positionH>
                <wp:positionV relativeFrom="paragraph">
                  <wp:posOffset>2110740</wp:posOffset>
                </wp:positionV>
                <wp:extent cx="1441450" cy="838200"/>
                <wp:effectExtent l="0" t="0" r="25400" b="19050"/>
                <wp:wrapNone/>
                <wp:docPr id="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838200"/>
                        </a:xfrm>
                        <a:prstGeom prst="rect">
                          <a:avLst/>
                        </a:prstGeom>
                        <a:solidFill>
                          <a:srgbClr val="FFFFFF"/>
                        </a:solidFill>
                        <a:ln w="9525">
                          <a:solidFill>
                            <a:srgbClr val="000000"/>
                          </a:solidFill>
                          <a:miter lim="800000"/>
                          <a:headEnd/>
                          <a:tailEnd/>
                        </a:ln>
                      </wps:spPr>
                      <wps:txbx>
                        <w:txbxContent>
                          <w:p w14:paraId="083E9866" w14:textId="77777777" w:rsidR="004613C7" w:rsidRPr="00497A00" w:rsidRDefault="004613C7" w:rsidP="004613C7">
                            <w:pPr>
                              <w:spacing w:after="0"/>
                              <w:jc w:val="center"/>
                              <w:rPr>
                                <w:rFonts w:ascii="Cambria" w:hAnsi="Cambria"/>
                                <w:sz w:val="20"/>
                                <w:szCs w:val="20"/>
                              </w:rPr>
                            </w:pPr>
                            <w:r w:rsidRPr="00497A00">
                              <w:rPr>
                                <w:rFonts w:ascii="Cambria" w:hAnsi="Cambria"/>
                                <w:sz w:val="20"/>
                                <w:szCs w:val="20"/>
                              </w:rPr>
                              <w:t xml:space="preserve">Title and abstract were used to filter the records. </w:t>
                            </w:r>
                          </w:p>
                          <w:p w14:paraId="64693EF2" w14:textId="77777777" w:rsidR="004613C7" w:rsidRPr="00497A00" w:rsidRDefault="004613C7" w:rsidP="004613C7">
                            <w:pPr>
                              <w:jc w:val="center"/>
                              <w:rPr>
                                <w:rFonts w:ascii="Cambria" w:hAnsi="Cambria"/>
                              </w:rPr>
                            </w:pPr>
                            <w:r w:rsidRPr="00497A00">
                              <w:rPr>
                                <w:rFonts w:ascii="Cambria" w:hAnsi="Cambria"/>
                                <w:sz w:val="20"/>
                                <w:szCs w:val="20"/>
                              </w:rPr>
                              <w:t>(n=  70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56F334" id="_x0000_s1028" style="position:absolute;left:0;text-align:left;margin-left:59.85pt;margin-top:166.2pt;width:113.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">
                <v:path arrowok="t"/>
                <v:textbox inset=",7.2pt,,7.2pt">
                  <w:txbxContent>
                    <w:p w14:paraId="083E9866" w14:textId="77777777" w:rsidR="004613C7" w:rsidRPr="00497A00" w:rsidRDefault="004613C7" w:rsidP="004613C7">
                      <w:pPr>
                        <w:spacing w:after="0"/>
                        <w:jc w:val="center"/>
                        <w:rPr>
                          <w:rFonts w:ascii="Cambria" w:hAnsi="Cambria"/>
                          <w:sz w:val="20"/>
                          <w:szCs w:val="20"/>
                        </w:rPr>
                      </w:pPr>
                      <w:r w:rsidRPr="00497A00">
                        <w:rPr>
                          <w:rFonts w:ascii="Cambria" w:hAnsi="Cambria"/>
                          <w:sz w:val="20"/>
                          <w:szCs w:val="20"/>
                        </w:rPr>
                        <w:t xml:space="preserve">Title and abstract were used to filter the records. </w:t>
                      </w:r>
                    </w:p>
                    <w:p w14:paraId="64693EF2" w14:textId="77777777" w:rsidR="004613C7" w:rsidRPr="00497A00" w:rsidRDefault="004613C7" w:rsidP="004613C7">
                      <w:pPr>
                        <w:jc w:val="center"/>
                        <w:rPr>
                          <w:rFonts w:ascii="Cambria" w:hAnsi="Cambria"/>
                        </w:rPr>
                      </w:pPr>
                      <w:r w:rsidRPr="00497A00">
                        <w:rPr>
                          <w:rFonts w:ascii="Cambria" w:hAnsi="Cambria"/>
                          <w:sz w:val="20"/>
                          <w:szCs w:val="20"/>
                        </w:rPr>
                        <w:t>(n=  70   )</w:t>
                      </w:r>
                    </w:p>
                  </w:txbxContent>
                </v:textbox>
              </v:rect>
            </w:pict>
          </mc:Fallback>
        </mc:AlternateContent>
      </w:r>
      <w:r w:rsidRPr="00497A00">
        <w:rPr>
          <w:rFonts w:ascii="Cambria" w:hAnsi="Cambria"/>
          <w:noProof/>
        </w:rPr>
        <mc:AlternateContent>
          <mc:Choice Requires="wps">
            <w:drawing>
              <wp:anchor distT="0" distB="0" distL="114300" distR="114300" simplePos="0" relativeHeight="251671552" behindDoc="0" locked="0" layoutInCell="1" allowOverlap="1" wp14:anchorId="04DDEDF6" wp14:editId="50FEA87E">
                <wp:simplePos x="0" y="0"/>
                <wp:positionH relativeFrom="column">
                  <wp:posOffset>1460500</wp:posOffset>
                </wp:positionH>
                <wp:positionV relativeFrom="paragraph">
                  <wp:posOffset>4298315</wp:posOffset>
                </wp:positionV>
                <wp:extent cx="6350" cy="692150"/>
                <wp:effectExtent l="38100" t="0" r="69850" b="50800"/>
                <wp:wrapNone/>
                <wp:docPr id="20" name="Straight Arrow Connector 20"/>
                <wp:cNvGraphicFramePr/>
                <a:graphic xmlns:a="http://schemas.openxmlformats.org/drawingml/2006/main">
                  <a:graphicData uri="http://schemas.microsoft.com/office/word/2010/wordprocessingShape">
                    <wps:wsp>
                      <wps:cNvCnPr/>
                      <wps:spPr>
                        <a:xfrm>
                          <a:off x="0" y="0"/>
                          <a:ext cx="6350" cy="6921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F7A079" id="Straight Arrow Connector 20" o:spid="_x0000_s1026" type="#_x0000_t32" style="position:absolute;margin-left:115pt;margin-top:338.45pt;width:.5pt;height: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" strokecolor="black [3213]">
                <v:stroke endarrow="block" joinstyle="miter"/>
              </v:shape>
            </w:pict>
          </mc:Fallback>
        </mc:AlternateContent>
      </w:r>
      <w:r w:rsidRPr="00497A00">
        <w:rPr>
          <w:rFonts w:ascii="Cambria" w:hAnsi="Cambria"/>
          <w:noProof/>
        </w:rPr>
        <mc:AlternateContent>
          <mc:Choice Requires="wps">
            <w:drawing>
              <wp:anchor distT="0" distB="0" distL="114300" distR="114300" simplePos="0" relativeHeight="251664384" behindDoc="0" locked="0" layoutInCell="1" allowOverlap="1" wp14:anchorId="5492D778" wp14:editId="2060ED70">
                <wp:simplePos x="0" y="0"/>
                <wp:positionH relativeFrom="column">
                  <wp:posOffset>2846070</wp:posOffset>
                </wp:positionH>
                <wp:positionV relativeFrom="paragraph">
                  <wp:posOffset>198754</wp:posOffset>
                </wp:positionV>
                <wp:extent cx="1727200" cy="660557"/>
                <wp:effectExtent l="0" t="0" r="25400" b="2540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0" cy="660557"/>
                        </a:xfrm>
                        <a:prstGeom prst="rect">
                          <a:avLst/>
                        </a:prstGeom>
                        <a:solidFill>
                          <a:srgbClr val="FFFFFF"/>
                        </a:solidFill>
                        <a:ln w="9525">
                          <a:solidFill>
                            <a:srgbClr val="000000"/>
                          </a:solidFill>
                          <a:miter lim="800000"/>
                          <a:headEnd/>
                          <a:tailEnd/>
                        </a:ln>
                      </wps:spPr>
                      <wps:txbx>
                        <w:txbxContent>
                          <w:p w14:paraId="34A0A51A" w14:textId="77777777" w:rsidR="004613C7" w:rsidRPr="00497A00" w:rsidRDefault="004613C7" w:rsidP="004613C7">
                            <w:pPr>
                              <w:jc w:val="center"/>
                              <w:rPr>
                                <w:rFonts w:ascii="Cambria" w:hAnsi="Cambria"/>
                                <w:sz w:val="20"/>
                                <w:szCs w:val="20"/>
                              </w:rPr>
                            </w:pPr>
                            <w:r w:rsidRPr="00497A00">
                              <w:rPr>
                                <w:rFonts w:ascii="Cambria" w:hAnsi="Cambria"/>
                                <w:sz w:val="20"/>
                                <w:szCs w:val="20"/>
                              </w:rPr>
                              <w:t>Extra records found from other sources</w:t>
                            </w:r>
                            <w:r w:rsidRPr="00497A00">
                              <w:rPr>
                                <w:rFonts w:ascii="Cambria" w:hAnsi="Cambria"/>
                                <w:sz w:val="20"/>
                                <w:szCs w:val="20"/>
                              </w:rPr>
                              <w:br/>
                              <w:t>(n=    0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92D778" id="Rectangle 55" o:spid="_x0000_s1029" style="position:absolute;left:0;text-align:left;margin-left:224.1pt;margin-top:15.65pt;width:136pt;height: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">
                <v:path arrowok="t"/>
                <v:textbox inset=",7.2pt,,7.2pt">
                  <w:txbxContent>
                    <w:p w14:paraId="34A0A51A" w14:textId="77777777" w:rsidR="004613C7" w:rsidRPr="00497A00" w:rsidRDefault="004613C7" w:rsidP="004613C7">
                      <w:pPr>
                        <w:jc w:val="center"/>
                        <w:rPr>
                          <w:rFonts w:ascii="Cambria" w:hAnsi="Cambria"/>
                          <w:sz w:val="20"/>
                          <w:szCs w:val="20"/>
                        </w:rPr>
                      </w:pPr>
                      <w:r w:rsidRPr="00497A00">
                        <w:rPr>
                          <w:rFonts w:ascii="Cambria" w:hAnsi="Cambria"/>
                          <w:sz w:val="20"/>
                          <w:szCs w:val="20"/>
                        </w:rPr>
                        <w:t>Extra records found from other sources</w:t>
                      </w:r>
                      <w:r w:rsidRPr="00497A00">
                        <w:rPr>
                          <w:rFonts w:ascii="Cambria" w:hAnsi="Cambria"/>
                          <w:sz w:val="20"/>
                          <w:szCs w:val="20"/>
                        </w:rPr>
                        <w:br/>
                        <w:t>(n=    0   )</w:t>
                      </w:r>
                    </w:p>
                  </w:txbxContent>
                </v:textbox>
              </v:rect>
            </w:pict>
          </mc:Fallback>
        </mc:AlternateContent>
      </w:r>
      <w:r w:rsidRPr="00497A00">
        <w:rPr>
          <w:rFonts w:ascii="Cambria" w:hAnsi="Cambria"/>
          <w:noProof/>
        </w:rPr>
        <mc:AlternateContent>
          <mc:Choice Requires="wps">
            <w:drawing>
              <wp:anchor distT="0" distB="0" distL="114300" distR="114300" simplePos="0" relativeHeight="251668480" behindDoc="0" locked="0" layoutInCell="1" allowOverlap="1" wp14:anchorId="4181A92B" wp14:editId="2643BB67">
                <wp:simplePos x="0" y="0"/>
                <wp:positionH relativeFrom="column">
                  <wp:posOffset>2203450</wp:posOffset>
                </wp:positionH>
                <wp:positionV relativeFrom="paragraph">
                  <wp:posOffset>3837940</wp:posOffset>
                </wp:positionV>
                <wp:extent cx="590533" cy="0"/>
                <wp:effectExtent l="0" t="76200" r="19685" b="95250"/>
                <wp:wrapNone/>
                <wp:docPr id="9" name="Straight Connector 85"/>
                <wp:cNvGraphicFramePr/>
                <a:graphic xmlns:a="http://schemas.openxmlformats.org/drawingml/2006/main">
                  <a:graphicData uri="http://schemas.microsoft.com/office/word/2010/wordprocessingShape">
                    <wps:wsp>
                      <wps:cNvCnPr/>
                      <wps:spPr>
                        <a:xfrm flipV="1">
                          <a:off x="0" y="0"/>
                          <a:ext cx="590533" cy="0"/>
                        </a:xfrm>
                        <a:prstGeom prst="line">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B15A8" id="Straight Connector 8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302.2pt" to="220pt,3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" strokecolor="black [3200]">
                <v:stroke endarrow="block" joinstyle="miter"/>
              </v:line>
            </w:pict>
          </mc:Fallback>
        </mc:AlternateContent>
      </w:r>
      <w:r w:rsidRPr="00497A00">
        <w:rPr>
          <w:rFonts w:ascii="Cambria" w:hAnsi="Cambria"/>
          <w:noProof/>
        </w:rPr>
        <mc:AlternateContent>
          <mc:Choice Requires="wps">
            <w:drawing>
              <wp:anchor distT="0" distB="0" distL="114300" distR="114300" simplePos="0" relativeHeight="251667456" behindDoc="0" locked="0" layoutInCell="1" allowOverlap="1" wp14:anchorId="0F791DA9" wp14:editId="34739B8F">
                <wp:simplePos x="0" y="0"/>
                <wp:positionH relativeFrom="column">
                  <wp:posOffset>1449463</wp:posOffset>
                </wp:positionH>
                <wp:positionV relativeFrom="paragraph">
                  <wp:posOffset>1634490</wp:posOffset>
                </wp:positionV>
                <wp:extent cx="0" cy="488945"/>
                <wp:effectExtent l="0" t="0" r="0" b="0"/>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894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w:pict>
              <v:shape w14:anchorId="04769FC1" id="AutoShape 40" o:spid="_x0000_s1026" type="#_x0000_t32" style="position:absolute;margin-left:114.15pt;margin-top:128.7pt;width:0;height:3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">
                <v:stroke endarrow="block"/>
                <v:shadow color="#ccc"/>
                <o:lock v:ext="edit" shapetype="f"/>
              </v:shape>
            </w:pict>
          </mc:Fallback>
        </mc:AlternateContent>
      </w:r>
      <w:r w:rsidRPr="00497A00">
        <w:rPr>
          <w:rFonts w:ascii="Cambria" w:hAnsi="Cambria"/>
          <w:noProof/>
        </w:rPr>
        <mc:AlternateContent>
          <mc:Choice Requires="wps">
            <w:drawing>
              <wp:anchor distT="0" distB="0" distL="114300" distR="114300" simplePos="0" relativeHeight="251661312" behindDoc="0" locked="0" layoutInCell="1" allowOverlap="1" wp14:anchorId="52239B82" wp14:editId="3B11ACE8">
                <wp:simplePos x="0" y="0"/>
                <wp:positionH relativeFrom="column">
                  <wp:posOffset>1193800</wp:posOffset>
                </wp:positionH>
                <wp:positionV relativeFrom="paragraph">
                  <wp:posOffset>1158240</wp:posOffset>
                </wp:positionV>
                <wp:extent cx="2705100" cy="488950"/>
                <wp:effectExtent l="0" t="0" r="19050" b="25400"/>
                <wp:wrapNone/>
                <wp:docPr id="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5100" cy="488950"/>
                        </a:xfrm>
                        <a:prstGeom prst="rect">
                          <a:avLst/>
                        </a:prstGeom>
                        <a:solidFill>
                          <a:srgbClr val="FFFFFF"/>
                        </a:solidFill>
                        <a:ln w="9525">
                          <a:solidFill>
                            <a:srgbClr val="000000"/>
                          </a:solidFill>
                          <a:miter lim="800000"/>
                          <a:headEnd/>
                          <a:tailEnd/>
                        </a:ln>
                      </wps:spPr>
                      <wps:txbx>
                        <w:txbxContent>
                          <w:p w14:paraId="11EAB276"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following the removal of duplicates       (n=   176     )</w:t>
                            </w:r>
                            <w:r w:rsidRPr="00497A00">
                              <w:rPr>
                                <w:rFonts w:ascii="Cambria" w:hAnsi="Cambria"/>
                                <w:sz w:val="20"/>
                                <w:szCs w:val="20"/>
                              </w:rPr>
                              <w:tab/>
                            </w:r>
                          </w:p>
                          <w:p w14:paraId="73CD0E70" w14:textId="77777777" w:rsidR="004613C7" w:rsidRDefault="004613C7" w:rsidP="004613C7">
                            <w:pPr>
                              <w:jc w:val="cente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239B82" id="_x0000_s1030" style="position:absolute;left:0;text-align:left;margin-left:94pt;margin-top:91.2pt;width:213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">
                <v:path arrowok="t"/>
                <v:textbox inset=",7.2pt,,7.2pt">
                  <w:txbxContent>
                    <w:p w14:paraId="11EAB276"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following the removal of duplicates       (n=   176     )</w:t>
                      </w:r>
                      <w:r w:rsidRPr="00497A00">
                        <w:rPr>
                          <w:rFonts w:ascii="Cambria" w:hAnsi="Cambria"/>
                          <w:sz w:val="20"/>
                          <w:szCs w:val="20"/>
                        </w:rPr>
                        <w:tab/>
                      </w:r>
                    </w:p>
                    <w:p w14:paraId="73CD0E70" w14:textId="77777777" w:rsidR="004613C7" w:rsidRDefault="004613C7" w:rsidP="004613C7">
                      <w:pPr>
                        <w:jc w:val="center"/>
                      </w:pPr>
                    </w:p>
                  </w:txbxContent>
                </v:textbox>
              </v:rect>
            </w:pict>
          </mc:Fallback>
        </mc:AlternateContent>
      </w:r>
      <w:r w:rsidRPr="00497A00">
        <w:rPr>
          <w:rFonts w:ascii="Cambria" w:hAnsi="Cambria"/>
          <w:noProof/>
        </w:rPr>
        <mc:AlternateContent>
          <mc:Choice Requires="wps">
            <w:drawing>
              <wp:anchor distT="0" distB="0" distL="114300" distR="114300" simplePos="0" relativeHeight="251665408" behindDoc="0" locked="0" layoutInCell="1" allowOverlap="1" wp14:anchorId="30232297" wp14:editId="4EF2BA52">
                <wp:simplePos x="0" y="0"/>
                <wp:positionH relativeFrom="column">
                  <wp:posOffset>3473450</wp:posOffset>
                </wp:positionH>
                <wp:positionV relativeFrom="paragraph">
                  <wp:posOffset>851531</wp:posOffset>
                </wp:positionV>
                <wp:extent cx="0" cy="297658"/>
                <wp:effectExtent l="0" t="0" r="0" b="0"/>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765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w:pict>
              <v:shape w14:anchorId="1AE02246" id="AutoShape 40" o:spid="_x0000_s1026" type="#_x0000_t32" style="position:absolute;margin-left:273.5pt;margin-top:67.05pt;width:0;height:23.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">
                <v:stroke endarrow="block"/>
                <v:shadow color="#ccc"/>
                <o:lock v:ext="edit" shapetype="f"/>
              </v:shape>
            </w:pict>
          </mc:Fallback>
        </mc:AlternateContent>
      </w:r>
      <w:r w:rsidRPr="00497A00">
        <w:rPr>
          <w:rFonts w:ascii="Cambria" w:hAnsi="Cambria"/>
          <w:noProof/>
        </w:rPr>
        <mc:AlternateContent>
          <mc:Choice Requires="wps">
            <w:drawing>
              <wp:anchor distT="0" distB="0" distL="114300" distR="114300" simplePos="0" relativeHeight="251660288" behindDoc="0" locked="0" layoutInCell="1" allowOverlap="1" wp14:anchorId="50E2AFDC" wp14:editId="7F0E625C">
                <wp:simplePos x="0" y="0"/>
                <wp:positionH relativeFrom="margin">
                  <wp:align>left</wp:align>
                </wp:positionH>
                <wp:positionV relativeFrom="paragraph">
                  <wp:posOffset>2170324</wp:posOffset>
                </wp:positionV>
                <wp:extent cx="1906549" cy="315595"/>
                <wp:effectExtent l="0" t="4763" r="13018" b="13017"/>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906549" cy="315595"/>
                        </a:xfrm>
                        <a:prstGeom prst="roundRect">
                          <a:avLst>
                            <a:gd name="adj" fmla="val 16667"/>
                          </a:avLst>
                        </a:prstGeom>
                        <a:solidFill>
                          <a:srgbClr val="CCECFF"/>
                        </a:solidFill>
                        <a:ln w="9525">
                          <a:solidFill>
                            <a:srgbClr val="000000"/>
                          </a:solidFill>
                          <a:round/>
                          <a:headEnd/>
                          <a:tailEnd/>
                        </a:ln>
                      </wps:spPr>
                      <wps:txbx>
                        <w:txbxContent>
                          <w:p w14:paraId="1CAFDA06" w14:textId="77777777" w:rsidR="004613C7" w:rsidRPr="00497A00" w:rsidRDefault="004613C7" w:rsidP="004613C7">
                            <w:pPr>
                              <w:jc w:val="center"/>
                              <w:rPr>
                                <w:rFonts w:ascii="Cambria" w:hAnsi="Cambria"/>
                              </w:rPr>
                            </w:pPr>
                            <w:r w:rsidRPr="00497A00">
                              <w:rPr>
                                <w:rFonts w:ascii="Cambria" w:hAnsi="Cambria"/>
                                <w:b/>
                                <w:bCs/>
                                <w:color w:val="002060"/>
                                <w:sz w:val="20"/>
                                <w:szCs w:val="20"/>
                              </w:rPr>
                              <w:t>Screening</w:t>
                            </w:r>
                          </w:p>
                        </w:txbxContent>
                      </wps:txbx>
                      <wps:bodyPr rot="0" vert="vert270" wrap="square" lIns="45720" tIns="45720" rIns="45720" bIns="45720" anchor="ctr" anchorCtr="0" upright="1">
                        <a:noAutofit/>
                      </wps:bodyPr>
                    </wps:wsp>
                  </a:graphicData>
                </a:graphic>
                <wp14:sizeRelH relativeFrom="margin">
                  <wp14:pctWidth>0</wp14:pctWidth>
                </wp14:sizeRelH>
              </wp:anchor>
            </w:drawing>
          </mc:Choice>
          <mc:Fallback>
            <w:pict>
              <v:roundrect w14:anchorId="50E2AFDC" id="AutoShape 29" o:spid="_x0000_s1031" style="position:absolute;left:0;text-align:left;margin-left:0;margin-top:170.9pt;width:150.1pt;height:24.85pt;rotation:-90;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" fillcolor="#ccecff">
                <v:path arrowok="t"/>
                <v:textbox style="layout-flow:vertical;mso-layout-flow-alt:bottom-to-top" inset="3.6pt,,3.6pt">
                  <w:txbxContent>
                    <w:p w14:paraId="1CAFDA06" w14:textId="77777777" w:rsidR="004613C7" w:rsidRPr="00497A00" w:rsidRDefault="004613C7" w:rsidP="004613C7">
                      <w:pPr>
                        <w:jc w:val="center"/>
                        <w:rPr>
                          <w:rFonts w:ascii="Cambria" w:hAnsi="Cambria"/>
                        </w:rPr>
                      </w:pPr>
                      <w:r w:rsidRPr="00497A00">
                        <w:rPr>
                          <w:rFonts w:ascii="Cambria" w:hAnsi="Cambria"/>
                          <w:b/>
                          <w:bCs/>
                          <w:color w:val="002060"/>
                          <w:sz w:val="20"/>
                          <w:szCs w:val="20"/>
                        </w:rPr>
                        <w:t>Screening</w:t>
                      </w:r>
                    </w:p>
                  </w:txbxContent>
                </v:textbox>
                <w10:wrap anchorx="margin"/>
              </v:roundrect>
            </w:pict>
          </mc:Fallback>
        </mc:AlternateContent>
      </w:r>
      <w:r w:rsidRPr="00497A00">
        <w:rPr>
          <w:rFonts w:ascii="Cambria" w:hAnsi="Cambria"/>
          <w:noProof/>
          <w:sz w:val="22"/>
          <w:szCs w:val="22"/>
          <w:lang w:val="en-GB"/>
        </w:rPr>
        <mc:AlternateContent>
          <mc:Choice Requires="wpg">
            <w:drawing>
              <wp:anchor distT="0" distB="0" distL="114300" distR="114300" simplePos="0" relativeHeight="251672576" behindDoc="1" locked="0" layoutInCell="1" allowOverlap="1" wp14:anchorId="34DE2BB4" wp14:editId="1EDFCFBB">
                <wp:simplePos x="0" y="0"/>
                <wp:positionH relativeFrom="column">
                  <wp:posOffset>-1905</wp:posOffset>
                </wp:positionH>
                <wp:positionV relativeFrom="paragraph">
                  <wp:posOffset>0</wp:posOffset>
                </wp:positionV>
                <wp:extent cx="4491990" cy="5915025"/>
                <wp:effectExtent l="0" t="0" r="22860" b="28575"/>
                <wp:wrapTopAndBottom/>
                <wp:docPr id="2" name="Group 2"/>
                <wp:cNvGraphicFramePr/>
                <a:graphic xmlns:a="http://schemas.openxmlformats.org/drawingml/2006/main">
                  <a:graphicData uri="http://schemas.microsoft.com/office/word/2010/wordprocessingGroup">
                    <wpg:wgp>
                      <wpg:cNvGrpSpPr/>
                      <wpg:grpSpPr>
                        <a:xfrm>
                          <a:off x="0" y="0"/>
                          <a:ext cx="4491990" cy="5915025"/>
                          <a:chOff x="-15984" y="22880"/>
                          <a:chExt cx="4492034" cy="5796923"/>
                        </a:xfrm>
                      </wpg:grpSpPr>
                      <wps:wsp>
                        <wps:cNvPr id="52" name="AutoShape 26">
                          <a:extLst>
                            <a:ext uri="{FF2B5EF4-FFF2-40B4-BE49-F238E27FC236}">
                              <a16:creationId xmlns:a16="http://schemas.microsoft.com/office/drawing/2014/main" id="{9A168706-04F1-9F41-A25D-1EADF9CB2EB1}"/>
                            </a:ext>
                          </a:extLst>
                        </wps:cNvPr>
                        <wps:cNvSpPr>
                          <a:spLocks/>
                        </wps:cNvSpPr>
                        <wps:spPr bwMode="auto">
                          <a:xfrm rot="16200000">
                            <a:off x="-430532" y="3987631"/>
                            <a:ext cx="1177233" cy="316230"/>
                          </a:xfrm>
                          <a:prstGeom prst="roundRect">
                            <a:avLst>
                              <a:gd name="adj" fmla="val 16667"/>
                            </a:avLst>
                          </a:prstGeom>
                          <a:solidFill>
                            <a:srgbClr val="CCECFF"/>
                          </a:solidFill>
                          <a:ln w="9525">
                            <a:solidFill>
                              <a:srgbClr val="000000"/>
                            </a:solidFill>
                            <a:round/>
                            <a:headEnd/>
                            <a:tailEnd/>
                          </a:ln>
                        </wps:spPr>
                        <wps:txbx>
                          <w:txbxContent>
                            <w:p w14:paraId="214BCB0F" w14:textId="77777777" w:rsidR="004613C7" w:rsidRPr="00497A00" w:rsidRDefault="004613C7" w:rsidP="004613C7">
                              <w:pPr>
                                <w:jc w:val="center"/>
                                <w:rPr>
                                  <w:rFonts w:ascii="Cambria" w:hAnsi="Cambria"/>
                                </w:rPr>
                              </w:pPr>
                              <w:r w:rsidRPr="00497A00">
                                <w:rPr>
                                  <w:rFonts w:ascii="Cambria" w:hAnsi="Cambria"/>
                                  <w:b/>
                                  <w:bCs/>
                                  <w:color w:val="002060"/>
                                  <w:sz w:val="20"/>
                                  <w:szCs w:val="20"/>
                                </w:rPr>
                                <w:t>Eligibility</w:t>
                              </w:r>
                            </w:p>
                          </w:txbxContent>
                        </wps:txbx>
                        <wps:bodyPr rot="0" vert="vert270" wrap="square" lIns="45720" tIns="45720" rIns="45720" bIns="45720" anchor="ctr" anchorCtr="0" upright="1">
                          <a:noAutofit/>
                        </wps:bodyPr>
                      </wps:wsp>
                      <wps:wsp>
                        <wps:cNvPr id="53" name="AutoShape 27">
                          <a:extLst>
                            <a:ext uri="{FF2B5EF4-FFF2-40B4-BE49-F238E27FC236}">
                              <a16:creationId xmlns:a16="http://schemas.microsoft.com/office/drawing/2014/main" id="{D796EF26-D7E8-8F4F-90A7-97B8748A6DD9}"/>
                            </a:ext>
                          </a:extLst>
                        </wps:cNvPr>
                        <wps:cNvSpPr>
                          <a:spLocks/>
                        </wps:cNvSpPr>
                        <wps:spPr bwMode="auto">
                          <a:xfrm rot="16200000">
                            <a:off x="-305152" y="5198452"/>
                            <a:ext cx="926472" cy="316230"/>
                          </a:xfrm>
                          <a:prstGeom prst="roundRect">
                            <a:avLst>
                              <a:gd name="adj" fmla="val 16667"/>
                            </a:avLst>
                          </a:prstGeom>
                          <a:solidFill>
                            <a:srgbClr val="CCECFF"/>
                          </a:solidFill>
                          <a:ln w="9525">
                            <a:solidFill>
                              <a:srgbClr val="000000"/>
                            </a:solidFill>
                            <a:round/>
                            <a:headEnd/>
                            <a:tailEnd/>
                          </a:ln>
                        </wps:spPr>
                        <wps:txbx>
                          <w:txbxContent>
                            <w:p w14:paraId="73B9BEBC" w14:textId="77777777" w:rsidR="004613C7" w:rsidRDefault="004613C7" w:rsidP="004613C7">
                              <w:pPr>
                                <w:jc w:val="center"/>
                              </w:pPr>
                              <w:r>
                                <w:rPr>
                                  <w:b/>
                                  <w:bCs/>
                                  <w:color w:val="002060"/>
                                  <w:sz w:val="20"/>
                                  <w:szCs w:val="20"/>
                                </w:rPr>
                                <w:t>I</w:t>
                              </w:r>
                              <w:r w:rsidRPr="00497A00">
                                <w:rPr>
                                  <w:rFonts w:ascii="Cambria" w:hAnsi="Cambria"/>
                                  <w:b/>
                                  <w:bCs/>
                                  <w:color w:val="002060"/>
                                  <w:sz w:val="20"/>
                                  <w:szCs w:val="20"/>
                                </w:rPr>
                                <w:t>ncluded</w:t>
                              </w:r>
                            </w:p>
                          </w:txbxContent>
                        </wps:txbx>
                        <wps:bodyPr rot="0" vert="vert270" wrap="square" lIns="45720" tIns="45720" rIns="45720" bIns="45720" anchor="ctr" anchorCtr="0" upright="1">
                          <a:noAutofit/>
                        </wps:bodyPr>
                      </wps:wsp>
                      <wps:wsp>
                        <wps:cNvPr id="55" name="AutoShape 29">
                          <a:extLst>
                            <a:ext uri="{FF2B5EF4-FFF2-40B4-BE49-F238E27FC236}">
                              <a16:creationId xmlns:a16="http://schemas.microsoft.com/office/drawing/2014/main" id="{CE532F70-9790-F64D-A306-7A59F0A14D47}"/>
                            </a:ext>
                          </a:extLst>
                        </wps:cNvPr>
                        <wps:cNvSpPr>
                          <a:spLocks/>
                        </wps:cNvSpPr>
                        <wps:spPr bwMode="auto">
                          <a:xfrm rot="16200000">
                            <a:off x="-400796" y="407692"/>
                            <a:ext cx="1085853" cy="316230"/>
                          </a:xfrm>
                          <a:prstGeom prst="roundRect">
                            <a:avLst>
                              <a:gd name="adj" fmla="val 16667"/>
                            </a:avLst>
                          </a:prstGeom>
                          <a:solidFill>
                            <a:srgbClr val="CCECFF"/>
                          </a:solidFill>
                          <a:ln w="9525">
                            <a:solidFill>
                              <a:srgbClr val="000000"/>
                            </a:solidFill>
                            <a:round/>
                            <a:headEnd/>
                            <a:tailEnd/>
                          </a:ln>
                        </wps:spPr>
                        <wps:txbx>
                          <w:txbxContent>
                            <w:p w14:paraId="37D72CA8" w14:textId="77777777" w:rsidR="004613C7" w:rsidRPr="00497A00" w:rsidRDefault="004613C7" w:rsidP="004613C7">
                              <w:pPr>
                                <w:jc w:val="center"/>
                                <w:rPr>
                                  <w:rFonts w:ascii="Cambria" w:hAnsi="Cambria"/>
                                </w:rPr>
                              </w:pPr>
                              <w:r w:rsidRPr="00497A00">
                                <w:rPr>
                                  <w:rFonts w:ascii="Cambria" w:hAnsi="Cambria"/>
                                  <w:b/>
                                  <w:bCs/>
                                  <w:color w:val="002060"/>
                                  <w:sz w:val="20"/>
                                  <w:szCs w:val="20"/>
                                </w:rPr>
                                <w:t>Identification</w:t>
                              </w:r>
                            </w:p>
                          </w:txbxContent>
                        </wps:txbx>
                        <wps:bodyPr rot="0" vert="vert270" wrap="square" lIns="45720" tIns="45720" rIns="45720" bIns="45720" anchor="ctr" anchorCtr="0" upright="1">
                          <a:noAutofit/>
                        </wps:bodyPr>
                      </wps:wsp>
                      <wps:wsp>
                        <wps:cNvPr id="56" name="Rectangle 55">
                          <a:extLst>
                            <a:ext uri="{FF2B5EF4-FFF2-40B4-BE49-F238E27FC236}">
                              <a16:creationId xmlns:a16="http://schemas.microsoft.com/office/drawing/2014/main" id="{9D2C4DEE-1C6B-7442-B6FE-70150EB85FAE}"/>
                            </a:ext>
                          </a:extLst>
                        </wps:cNvPr>
                        <wps:cNvSpPr>
                          <a:spLocks/>
                        </wps:cNvSpPr>
                        <wps:spPr bwMode="auto">
                          <a:xfrm>
                            <a:off x="745417" y="207030"/>
                            <a:ext cx="1651591" cy="661667"/>
                          </a:xfrm>
                          <a:prstGeom prst="rect">
                            <a:avLst/>
                          </a:prstGeom>
                          <a:solidFill>
                            <a:srgbClr val="FFFFFF"/>
                          </a:solidFill>
                          <a:ln w="9525">
                            <a:solidFill>
                              <a:srgbClr val="000000"/>
                            </a:solidFill>
                            <a:miter lim="800000"/>
                            <a:headEnd/>
                            <a:tailEnd/>
                          </a:ln>
                        </wps:spPr>
                        <wps:txbx>
                          <w:txbxContent>
                            <w:p w14:paraId="54D8F455"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 located via database query</w:t>
                              </w:r>
                              <w:r w:rsidRPr="00497A00">
                                <w:rPr>
                                  <w:rFonts w:ascii="Cambria" w:hAnsi="Cambria"/>
                                  <w:sz w:val="20"/>
                                  <w:szCs w:val="20"/>
                                </w:rPr>
                                <w:br/>
                                <w:t>(n=  200    )</w:t>
                              </w:r>
                            </w:p>
                          </w:txbxContent>
                        </wps:txbx>
                        <wps:bodyPr rot="0" vert="horz" wrap="square" lIns="91440" tIns="91440" rIns="91440" bIns="91440" anchor="t" anchorCtr="0" upright="1">
                          <a:noAutofit/>
                        </wps:bodyPr>
                      </wps:wsp>
                      <wps:wsp>
                        <wps:cNvPr id="58" name="Rectangle 57">
                          <a:extLst>
                            <a:ext uri="{FF2B5EF4-FFF2-40B4-BE49-F238E27FC236}">
                              <a16:creationId xmlns:a16="http://schemas.microsoft.com/office/drawing/2014/main" id="{1D8ED964-4E35-1C40-9802-BC38FF7D450F}"/>
                            </a:ext>
                          </a:extLst>
                        </wps:cNvPr>
                        <wps:cNvSpPr>
                          <a:spLocks/>
                        </wps:cNvSpPr>
                        <wps:spPr bwMode="auto">
                          <a:xfrm>
                            <a:off x="736478" y="4933792"/>
                            <a:ext cx="1498987" cy="808994"/>
                          </a:xfrm>
                          <a:prstGeom prst="rect">
                            <a:avLst/>
                          </a:prstGeom>
                          <a:solidFill>
                            <a:srgbClr val="FFFFFF"/>
                          </a:solidFill>
                          <a:ln w="9525">
                            <a:solidFill>
                              <a:srgbClr val="000000"/>
                            </a:solidFill>
                            <a:miter lim="800000"/>
                            <a:headEnd/>
                            <a:tailEnd/>
                          </a:ln>
                        </wps:spPr>
                        <wps:txbx>
                          <w:txbxContent>
                            <w:p w14:paraId="22224FC6" w14:textId="77777777" w:rsidR="004613C7" w:rsidRPr="00497A00" w:rsidRDefault="004613C7" w:rsidP="004613C7">
                              <w:pPr>
                                <w:spacing w:after="0"/>
                                <w:jc w:val="center"/>
                                <w:rPr>
                                  <w:rFonts w:ascii="Cambria" w:hAnsi="Cambria"/>
                                  <w:sz w:val="20"/>
                                  <w:szCs w:val="20"/>
                                </w:rPr>
                              </w:pPr>
                              <w:r w:rsidRPr="00497A00">
                                <w:rPr>
                                  <w:rFonts w:ascii="Cambria" w:hAnsi="Cambria"/>
                                  <w:sz w:val="20"/>
                                  <w:szCs w:val="20"/>
                                </w:rPr>
                                <w:t>Research incorporated into the qualitative synthesis</w:t>
                              </w:r>
                            </w:p>
                            <w:p w14:paraId="195B322D" w14:textId="77777777" w:rsidR="004613C7" w:rsidRPr="00497A00" w:rsidRDefault="004613C7" w:rsidP="004613C7">
                              <w:pPr>
                                <w:jc w:val="center"/>
                                <w:rPr>
                                  <w:rFonts w:ascii="Cambria" w:hAnsi="Cambria"/>
                                </w:rPr>
                              </w:pPr>
                              <w:r w:rsidRPr="00497A00">
                                <w:rPr>
                                  <w:rFonts w:ascii="Cambria" w:hAnsi="Cambria"/>
                                  <w:sz w:val="20"/>
                                  <w:szCs w:val="20"/>
                                </w:rPr>
                                <w:t>(n=  15   )</w:t>
                              </w:r>
                            </w:p>
                          </w:txbxContent>
                        </wps:txbx>
                        <wps:bodyPr rot="0" vert="horz" wrap="square" lIns="91440" tIns="91440" rIns="91440" bIns="91440" anchor="t" anchorCtr="0" upright="1">
                          <a:noAutofit/>
                        </wps:bodyPr>
                      </wps:wsp>
                      <wps:wsp>
                        <wps:cNvPr id="65" name="AutoShape 40">
                          <a:extLst>
                            <a:ext uri="{FF2B5EF4-FFF2-40B4-BE49-F238E27FC236}">
                              <a16:creationId xmlns:a16="http://schemas.microsoft.com/office/drawing/2014/main" id="{23286CFC-0A5B-C440-A6D5-5267887FCE1B}"/>
                            </a:ext>
                          </a:extLst>
                        </wps:cNvPr>
                        <wps:cNvCnPr>
                          <a:cxnSpLocks/>
                        </wps:cNvCnPr>
                        <wps:spPr bwMode="auto">
                          <a:xfrm>
                            <a:off x="1435295" y="883463"/>
                            <a:ext cx="0" cy="29765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 name="Rectangle 27">
                          <a:extLst>
                            <a:ext uri="{FF2B5EF4-FFF2-40B4-BE49-F238E27FC236}">
                              <a16:creationId xmlns:a16="http://schemas.microsoft.com/office/drawing/2014/main" id="{22362E27-CB13-B141-AA9B-F9E33ECCF493}"/>
                            </a:ext>
                          </a:extLst>
                        </wps:cNvPr>
                        <wps:cNvSpPr>
                          <a:spLocks/>
                        </wps:cNvSpPr>
                        <wps:spPr bwMode="auto">
                          <a:xfrm>
                            <a:off x="2809148" y="2188233"/>
                            <a:ext cx="1666902" cy="672024"/>
                          </a:xfrm>
                          <a:prstGeom prst="rect">
                            <a:avLst/>
                          </a:prstGeom>
                          <a:solidFill>
                            <a:srgbClr val="FFFFFF"/>
                          </a:solidFill>
                          <a:ln w="9525">
                            <a:solidFill>
                              <a:srgbClr val="000000"/>
                            </a:solidFill>
                            <a:miter lim="800000"/>
                            <a:headEnd/>
                            <a:tailEnd/>
                          </a:ln>
                        </wps:spPr>
                        <wps:txbx>
                          <w:txbxContent>
                            <w:p w14:paraId="5AA0BA9E"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excluded:</w:t>
                              </w:r>
                            </w:p>
                            <w:p w14:paraId="63242A2B" w14:textId="77777777" w:rsidR="004613C7" w:rsidRPr="00497A00" w:rsidRDefault="004613C7" w:rsidP="004613C7">
                              <w:pPr>
                                <w:jc w:val="center"/>
                                <w:rPr>
                                  <w:rFonts w:ascii="Cambria" w:hAnsi="Cambria"/>
                                  <w:sz w:val="20"/>
                                  <w:szCs w:val="20"/>
                                </w:rPr>
                              </w:pPr>
                              <w:r w:rsidRPr="00497A00">
                                <w:rPr>
                                  <w:rFonts w:ascii="Cambria" w:hAnsi="Cambria"/>
                                  <w:sz w:val="20"/>
                                  <w:szCs w:val="20"/>
                                </w:rPr>
                                <w:t>(n=  106 )</w:t>
                              </w:r>
                            </w:p>
                          </w:txbxContent>
                        </wps:txbx>
                        <wps:bodyPr rot="0" vert="horz" wrap="square" lIns="91440" tIns="91440" rIns="91440" bIns="91440" anchor="t" anchorCtr="0" upright="1">
                          <a:noAutofit/>
                        </wps:bodyPr>
                      </wps:wsp>
                    </wpg:wgp>
                  </a:graphicData>
                </a:graphic>
              </wp:anchor>
            </w:drawing>
          </mc:Choice>
          <mc:Fallback>
            <w:pict>
              <v:group w14:anchorId="34DE2BB4" id="Group 2" o:spid="_x0000_s1032" style="position:absolute;left:0;text-align:left;margin-left:-.15pt;margin-top:0;width:353.7pt;height:465.75pt;z-index:-251643904" coordorigin="-159,228" coordsize="44920,5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">
                <v:roundrect id="AutoShape 26" o:spid="_x0000_s1033" style="position:absolute;left:-4305;top:39876;width:11772;height:3162;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" fillcolor="#ccecff">
                  <v:path arrowok="t"/>
                  <v:textbox style="layout-flow:vertical;mso-layout-flow-alt:bottom-to-top" inset="3.6pt,,3.6pt">
                    <w:txbxContent>
                      <w:p w14:paraId="214BCB0F" w14:textId="77777777" w:rsidR="004613C7" w:rsidRPr="00497A00" w:rsidRDefault="004613C7" w:rsidP="004613C7">
                        <w:pPr>
                          <w:jc w:val="center"/>
                          <w:rPr>
                            <w:rFonts w:ascii="Cambria" w:hAnsi="Cambria"/>
                          </w:rPr>
                        </w:pPr>
                        <w:r w:rsidRPr="00497A00">
                          <w:rPr>
                            <w:rFonts w:ascii="Cambria" w:hAnsi="Cambria"/>
                            <w:b/>
                            <w:bCs/>
                            <w:color w:val="002060"/>
                            <w:sz w:val="20"/>
                            <w:szCs w:val="20"/>
                          </w:rPr>
                          <w:t>Eligibility</w:t>
                        </w:r>
                      </w:p>
                    </w:txbxContent>
                  </v:textbox>
                </v:roundrect>
                <v:roundrect id="AutoShape 27" o:spid="_x0000_s1034" style="position:absolute;left:-3052;top:51985;width:9265;height:316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" fillcolor="#ccecff">
                  <v:path arrowok="t"/>
                  <v:textbox style="layout-flow:vertical;mso-layout-flow-alt:bottom-to-top" inset="3.6pt,,3.6pt">
                    <w:txbxContent>
                      <w:p w14:paraId="73B9BEBC" w14:textId="77777777" w:rsidR="004613C7" w:rsidRDefault="004613C7" w:rsidP="004613C7">
                        <w:pPr>
                          <w:jc w:val="center"/>
                        </w:pPr>
                        <w:r>
                          <w:rPr>
                            <w:b/>
                            <w:bCs/>
                            <w:color w:val="002060"/>
                            <w:sz w:val="20"/>
                            <w:szCs w:val="20"/>
                          </w:rPr>
                          <w:t>I</w:t>
                        </w:r>
                        <w:r w:rsidRPr="00497A00">
                          <w:rPr>
                            <w:rFonts w:ascii="Cambria" w:hAnsi="Cambria"/>
                            <w:b/>
                            <w:bCs/>
                            <w:color w:val="002060"/>
                            <w:sz w:val="20"/>
                            <w:szCs w:val="20"/>
                          </w:rPr>
                          <w:t>ncluded</w:t>
                        </w:r>
                      </w:p>
                    </w:txbxContent>
                  </v:textbox>
                </v:roundrect>
                <v:roundrect id="_x0000_s1035" style="position:absolute;left:-4008;top:4077;width:10859;height:316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" fillcolor="#ccecff">
                  <v:path arrowok="t"/>
                  <v:textbox style="layout-flow:vertical;mso-layout-flow-alt:bottom-to-top" inset="3.6pt,,3.6pt">
                    <w:txbxContent>
                      <w:p w14:paraId="37D72CA8" w14:textId="77777777" w:rsidR="004613C7" w:rsidRPr="00497A00" w:rsidRDefault="004613C7" w:rsidP="004613C7">
                        <w:pPr>
                          <w:jc w:val="center"/>
                          <w:rPr>
                            <w:rFonts w:ascii="Cambria" w:hAnsi="Cambria"/>
                          </w:rPr>
                        </w:pPr>
                        <w:r w:rsidRPr="00497A00">
                          <w:rPr>
                            <w:rFonts w:ascii="Cambria" w:hAnsi="Cambria"/>
                            <w:b/>
                            <w:bCs/>
                            <w:color w:val="002060"/>
                            <w:sz w:val="20"/>
                            <w:szCs w:val="20"/>
                          </w:rPr>
                          <w:t>Identification</w:t>
                        </w:r>
                      </w:p>
                    </w:txbxContent>
                  </v:textbox>
                </v:roundrect>
                <v:rect id="_x0000_s1036" style="position:absolute;left:7454;top:2070;width:16516;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">
                  <v:path arrowok="t"/>
                  <v:textbox inset=",7.2pt,,7.2pt">
                    <w:txbxContent>
                      <w:p w14:paraId="54D8F455"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 located via database query</w:t>
                        </w:r>
                        <w:r w:rsidRPr="00497A00">
                          <w:rPr>
                            <w:rFonts w:ascii="Cambria" w:hAnsi="Cambria"/>
                            <w:sz w:val="20"/>
                            <w:szCs w:val="20"/>
                          </w:rPr>
                          <w:br/>
                          <w:t>(n=  200    )</w:t>
                        </w:r>
                      </w:p>
                    </w:txbxContent>
                  </v:textbox>
                </v:rect>
                <v:rect id="Rectangle 57" o:spid="_x0000_s1037" style="position:absolute;left:7364;top:49337;width:14990;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">
                  <v:path arrowok="t"/>
                  <v:textbox inset=",7.2pt,,7.2pt">
                    <w:txbxContent>
                      <w:p w14:paraId="22224FC6" w14:textId="77777777" w:rsidR="004613C7" w:rsidRPr="00497A00" w:rsidRDefault="004613C7" w:rsidP="004613C7">
                        <w:pPr>
                          <w:spacing w:after="0"/>
                          <w:jc w:val="center"/>
                          <w:rPr>
                            <w:rFonts w:ascii="Cambria" w:hAnsi="Cambria"/>
                            <w:sz w:val="20"/>
                            <w:szCs w:val="20"/>
                          </w:rPr>
                        </w:pPr>
                        <w:r w:rsidRPr="00497A00">
                          <w:rPr>
                            <w:rFonts w:ascii="Cambria" w:hAnsi="Cambria"/>
                            <w:sz w:val="20"/>
                            <w:szCs w:val="20"/>
                          </w:rPr>
                          <w:t>Research incorporated into the qualitative synthesis</w:t>
                        </w:r>
                      </w:p>
                      <w:p w14:paraId="195B322D" w14:textId="77777777" w:rsidR="004613C7" w:rsidRPr="00497A00" w:rsidRDefault="004613C7" w:rsidP="004613C7">
                        <w:pPr>
                          <w:jc w:val="center"/>
                          <w:rPr>
                            <w:rFonts w:ascii="Cambria" w:hAnsi="Cambria"/>
                          </w:rPr>
                        </w:pPr>
                        <w:r w:rsidRPr="00497A00">
                          <w:rPr>
                            <w:rFonts w:ascii="Cambria" w:hAnsi="Cambria"/>
                            <w:sz w:val="20"/>
                            <w:szCs w:val="20"/>
                          </w:rPr>
                          <w:t>(n=  15   )</w:t>
                        </w:r>
                      </w:p>
                    </w:txbxContent>
                  </v:textbox>
                </v:rect>
                <v:shapetype id="_x0000_t32" coordsize="21600,21600" o:spt="32" o:oned="t" path="m,l21600,21600e" filled="f">
                  <v:path arrowok="t" fillok="f" o:connecttype="none"/>
                  <o:lock v:ext="edit" shapetype="t"/>
                </v:shapetype>
                <v:shape id="AutoShape 40" o:spid="_x0000_s1038" type="#_x0000_t32" style="position:absolute;left:14352;top:8834;width:0;height:2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">
                  <v:stroke endarrow="block"/>
                  <v:shadow color="#ccc"/>
                  <o:lock v:ext="edit" shapetype="f"/>
                </v:shape>
                <v:rect id="_x0000_s1039" style="position:absolute;left:28091;top:21882;width:16669;height:6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">
                  <v:path arrowok="t"/>
                  <v:textbox inset=",7.2pt,,7.2pt">
                    <w:txbxContent>
                      <w:p w14:paraId="5AA0BA9E" w14:textId="77777777" w:rsidR="004613C7" w:rsidRPr="00497A00" w:rsidRDefault="004613C7" w:rsidP="004613C7">
                        <w:pPr>
                          <w:jc w:val="center"/>
                          <w:rPr>
                            <w:rFonts w:ascii="Cambria" w:hAnsi="Cambria"/>
                            <w:sz w:val="20"/>
                            <w:szCs w:val="20"/>
                          </w:rPr>
                        </w:pPr>
                        <w:r w:rsidRPr="00497A00">
                          <w:rPr>
                            <w:rFonts w:ascii="Cambria" w:hAnsi="Cambria"/>
                            <w:sz w:val="20"/>
                            <w:szCs w:val="20"/>
                          </w:rPr>
                          <w:t>Records excluded:</w:t>
                        </w:r>
                      </w:p>
                      <w:p w14:paraId="63242A2B" w14:textId="77777777" w:rsidR="004613C7" w:rsidRPr="00497A00" w:rsidRDefault="004613C7" w:rsidP="004613C7">
                        <w:pPr>
                          <w:jc w:val="center"/>
                          <w:rPr>
                            <w:rFonts w:ascii="Cambria" w:hAnsi="Cambria"/>
                            <w:sz w:val="20"/>
                            <w:szCs w:val="20"/>
                          </w:rPr>
                        </w:pPr>
                        <w:r w:rsidRPr="00497A00">
                          <w:rPr>
                            <w:rFonts w:ascii="Cambria" w:hAnsi="Cambria"/>
                            <w:sz w:val="20"/>
                            <w:szCs w:val="20"/>
                          </w:rPr>
                          <w:t>(n=  106 )</w:t>
                        </w:r>
                      </w:p>
                    </w:txbxContent>
                  </v:textbox>
                </v:rect>
                <w10:wrap type="topAndBottom"/>
              </v:group>
            </w:pict>
          </mc:Fallback>
        </mc:AlternateContent>
      </w:r>
    </w:p>
    <w:p w14:paraId="6F1575C2" w14:textId="77777777" w:rsidR="004613C7" w:rsidRPr="00497A00" w:rsidRDefault="004613C7" w:rsidP="00497A00">
      <w:pPr>
        <w:pStyle w:val="SAP-Paragraph"/>
        <w:suppressAutoHyphens/>
        <w:spacing w:line="276" w:lineRule="auto"/>
        <w:ind w:firstLineChars="0" w:firstLine="0"/>
        <w:jc w:val="center"/>
        <w:rPr>
          <w:rFonts w:ascii="Cambria" w:hAnsi="Cambria"/>
          <w:sz w:val="24"/>
          <w:lang w:val="en-GB" w:eastAsia="en-US"/>
        </w:rPr>
      </w:pPr>
      <w:r w:rsidRPr="00497A00">
        <w:rPr>
          <w:rFonts w:ascii="Cambria" w:hAnsi="Cambria"/>
          <w:b/>
          <w:bCs/>
          <w:sz w:val="24"/>
          <w:lang w:val="en-GB" w:eastAsia="en-US"/>
        </w:rPr>
        <w:t>Gambar 1.</w:t>
      </w:r>
      <w:r w:rsidRPr="00497A00">
        <w:rPr>
          <w:rFonts w:ascii="Cambria" w:hAnsi="Cambria"/>
          <w:sz w:val="24"/>
          <w:lang w:val="en-GB" w:eastAsia="en-US"/>
        </w:rPr>
        <w:t xml:space="preserve"> PRISMA Flow Diagram</w:t>
      </w:r>
    </w:p>
    <w:p w14:paraId="2553993A" w14:textId="77777777" w:rsidR="004613C7" w:rsidRPr="00497A00" w:rsidRDefault="004613C7" w:rsidP="004613C7">
      <w:pPr>
        <w:spacing w:line="276" w:lineRule="auto"/>
        <w:ind w:left="720"/>
        <w:jc w:val="both"/>
        <w:rPr>
          <w:rFonts w:ascii="Cambria" w:hAnsi="Cambria" w:cs="Times New Roman"/>
          <w:b/>
          <w:bCs/>
          <w:sz w:val="24"/>
          <w:szCs w:val="24"/>
        </w:rPr>
      </w:pPr>
      <w:r w:rsidRPr="00497A00">
        <w:rPr>
          <w:rFonts w:ascii="Cambria" w:hAnsi="Cambria" w:cs="Times New Roman"/>
          <w:b/>
          <w:bCs/>
          <w:sz w:val="24"/>
          <w:szCs w:val="24"/>
        </w:rPr>
        <w:t>Research Question</w:t>
      </w:r>
    </w:p>
    <w:p w14:paraId="132A0264" w14:textId="77777777" w:rsidR="004613C7" w:rsidRPr="00497A00" w:rsidRDefault="004613C7" w:rsidP="004613C7">
      <w:pPr>
        <w:spacing w:line="276" w:lineRule="auto"/>
        <w:ind w:left="720"/>
        <w:jc w:val="both"/>
        <w:rPr>
          <w:rFonts w:ascii="Cambria" w:hAnsi="Cambria"/>
          <w:sz w:val="24"/>
          <w:szCs w:val="24"/>
        </w:rPr>
      </w:pPr>
      <w:r w:rsidRPr="00497A00">
        <w:rPr>
          <w:rFonts w:ascii="Cambria" w:hAnsi="Cambria" w:cs="Times New Roman"/>
          <w:sz w:val="24"/>
          <w:szCs w:val="24"/>
        </w:rPr>
        <w:t xml:space="preserve">Tahap identifikasi masalah dapat diselesaikan dengan menerapkan pendekatan SLR untuk menentukan tujuan dan hasil penelitian. Penelitian ini memiliki intensi untuk menyelidiki serta mengevaluasi performa keuangan. </w:t>
      </w:r>
      <w:r w:rsidRPr="00497A00">
        <w:rPr>
          <w:rFonts w:ascii="Cambria" w:hAnsi="Cambria" w:cs="Times New Roman"/>
          <w:i/>
          <w:iCs/>
          <w:sz w:val="24"/>
          <w:szCs w:val="24"/>
        </w:rPr>
        <w:t xml:space="preserve">Research Question </w:t>
      </w:r>
      <w:r w:rsidRPr="00497A00">
        <w:rPr>
          <w:rFonts w:ascii="Cambria" w:hAnsi="Cambria" w:cs="Times New Roman"/>
          <w:sz w:val="24"/>
          <w:szCs w:val="24"/>
        </w:rPr>
        <w:t xml:space="preserve">disusun </w:t>
      </w:r>
      <w:r w:rsidRPr="00497A00">
        <w:rPr>
          <w:rFonts w:ascii="Cambria" w:hAnsi="Cambria" w:cs="Times New Roman"/>
          <w:sz w:val="24"/>
          <w:szCs w:val="24"/>
        </w:rPr>
        <w:lastRenderedPageBreak/>
        <w:t xml:space="preserve">dengan menggunakan kriteria PICO seperti yang dikatakan oleh </w:t>
      </w:r>
      <w:r w:rsidRPr="00497A00">
        <w:rPr>
          <w:rFonts w:ascii="Cambria" w:hAnsi="Cambria"/>
          <w:sz w:val="24"/>
          <w:szCs w:val="24"/>
        </w:rPr>
        <w:t>Kitchenham (2004) Dimana PICO itu merupakan :</w:t>
      </w:r>
    </w:p>
    <w:p w14:paraId="4DAA7245" w14:textId="77777777" w:rsidR="004613C7" w:rsidRPr="00497A00" w:rsidRDefault="004613C7" w:rsidP="004613C7">
      <w:pPr>
        <w:spacing w:line="276" w:lineRule="auto"/>
        <w:ind w:left="720"/>
        <w:jc w:val="both"/>
        <w:rPr>
          <w:rFonts w:ascii="Cambria" w:hAnsi="Cambria"/>
          <w:sz w:val="24"/>
          <w:szCs w:val="24"/>
        </w:rPr>
      </w:pPr>
      <w:r w:rsidRPr="00497A00">
        <w:rPr>
          <w:rFonts w:ascii="Cambria" w:hAnsi="Cambria"/>
          <w:sz w:val="24"/>
          <w:szCs w:val="24"/>
        </w:rPr>
        <w:t>P : Population yaitu populasi penelitian</w:t>
      </w:r>
    </w:p>
    <w:p w14:paraId="1EEEA6E5" w14:textId="77777777" w:rsidR="004613C7" w:rsidRPr="00497A00" w:rsidRDefault="004613C7" w:rsidP="004613C7">
      <w:pPr>
        <w:spacing w:line="276" w:lineRule="auto"/>
        <w:ind w:left="720"/>
        <w:jc w:val="both"/>
        <w:rPr>
          <w:rFonts w:ascii="Cambria" w:hAnsi="Cambria"/>
          <w:sz w:val="24"/>
          <w:szCs w:val="24"/>
        </w:rPr>
      </w:pPr>
      <w:r w:rsidRPr="00497A00">
        <w:rPr>
          <w:rFonts w:ascii="Cambria" w:hAnsi="Cambria"/>
          <w:sz w:val="24"/>
          <w:szCs w:val="24"/>
        </w:rPr>
        <w:t>I : Intervention yaitu perlakuan yang akan kita berikan pada populasi (Variabel)</w:t>
      </w:r>
    </w:p>
    <w:p w14:paraId="44857343" w14:textId="77777777" w:rsidR="004613C7" w:rsidRPr="00497A00" w:rsidRDefault="004613C7" w:rsidP="004613C7">
      <w:pPr>
        <w:spacing w:line="276" w:lineRule="auto"/>
        <w:ind w:left="720"/>
        <w:jc w:val="both"/>
        <w:rPr>
          <w:rFonts w:ascii="Cambria" w:hAnsi="Cambria"/>
          <w:sz w:val="24"/>
          <w:szCs w:val="24"/>
        </w:rPr>
      </w:pPr>
      <w:r w:rsidRPr="00497A00">
        <w:rPr>
          <w:rFonts w:ascii="Cambria" w:hAnsi="Cambria"/>
          <w:sz w:val="24"/>
          <w:szCs w:val="24"/>
        </w:rPr>
        <w:t>C : Comparator yaitualternatif intervensi sebagai pembanding</w:t>
      </w:r>
    </w:p>
    <w:p w14:paraId="4EA3A389" w14:textId="77777777" w:rsidR="004613C7" w:rsidRPr="00497A00" w:rsidRDefault="004613C7" w:rsidP="004613C7">
      <w:pPr>
        <w:spacing w:line="276" w:lineRule="auto"/>
        <w:ind w:left="720"/>
        <w:jc w:val="both"/>
        <w:rPr>
          <w:rFonts w:ascii="Cambria" w:hAnsi="Cambria"/>
          <w:sz w:val="24"/>
          <w:szCs w:val="24"/>
        </w:rPr>
      </w:pPr>
      <w:r w:rsidRPr="00497A00">
        <w:rPr>
          <w:rFonts w:ascii="Cambria" w:hAnsi="Cambria"/>
          <w:sz w:val="24"/>
          <w:szCs w:val="24"/>
        </w:rPr>
        <w:t>O : Outcomes yaitu hasil dari intervensi</w:t>
      </w:r>
    </w:p>
    <w:p w14:paraId="76C5A292"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sz w:val="24"/>
          <w:szCs w:val="24"/>
        </w:rPr>
        <w:t>PICO</w:t>
      </w:r>
      <w:r w:rsidRPr="00497A00">
        <w:rPr>
          <w:rFonts w:ascii="Cambria" w:hAnsi="Cambria" w:cs="Times New Roman"/>
          <w:sz w:val="24"/>
          <w:szCs w:val="24"/>
        </w:rPr>
        <w:t xml:space="preserve"> ditunjukkan dalam Tabel 1. Berikut:</w:t>
      </w:r>
    </w:p>
    <w:p w14:paraId="5C615DE9" w14:textId="1E5CA7F0" w:rsidR="004E08B9" w:rsidRPr="004E08B9" w:rsidRDefault="004613C7" w:rsidP="004E08B9">
      <w:pPr>
        <w:spacing w:line="276" w:lineRule="auto"/>
        <w:ind w:left="720"/>
        <w:jc w:val="center"/>
        <w:rPr>
          <w:rFonts w:ascii="Cambria" w:hAnsi="Cambria" w:cs="Times New Roman"/>
          <w:b/>
          <w:bCs/>
          <w:sz w:val="24"/>
          <w:szCs w:val="24"/>
        </w:rPr>
      </w:pPr>
      <w:r w:rsidRPr="004E08B9">
        <w:rPr>
          <w:rFonts w:ascii="Cambria" w:hAnsi="Cambria" w:cs="Times New Roman"/>
          <w:b/>
          <w:bCs/>
          <w:sz w:val="24"/>
          <w:szCs w:val="24"/>
        </w:rPr>
        <w:t>Tabel 1.</w:t>
      </w:r>
    </w:p>
    <w:p w14:paraId="16FAB925" w14:textId="5B68BE82" w:rsidR="004613C7" w:rsidRPr="004E08B9" w:rsidRDefault="004613C7" w:rsidP="004E08B9">
      <w:pPr>
        <w:spacing w:line="276" w:lineRule="auto"/>
        <w:ind w:left="720"/>
        <w:jc w:val="center"/>
        <w:rPr>
          <w:rFonts w:ascii="Cambria" w:hAnsi="Cambria" w:cs="Times New Roman"/>
          <w:b/>
          <w:bCs/>
          <w:sz w:val="24"/>
          <w:szCs w:val="24"/>
        </w:rPr>
      </w:pPr>
      <w:r w:rsidRPr="004E08B9">
        <w:rPr>
          <w:rFonts w:ascii="Cambria" w:hAnsi="Cambria" w:cs="Times New Roman"/>
          <w:b/>
          <w:bCs/>
          <w:sz w:val="24"/>
          <w:szCs w:val="24"/>
        </w:rPr>
        <w:t>Ringkan PICO Good Corporarte Governance; dan Kinerja Keuangan</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3827"/>
      </w:tblGrid>
      <w:tr w:rsidR="004613C7" w:rsidRPr="00497A00" w14:paraId="7962F805" w14:textId="77777777" w:rsidTr="00497A00">
        <w:tc>
          <w:tcPr>
            <w:tcW w:w="1827" w:type="dxa"/>
          </w:tcPr>
          <w:p w14:paraId="2B9D8EE5"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Population</w:t>
            </w:r>
          </w:p>
        </w:tc>
        <w:tc>
          <w:tcPr>
            <w:tcW w:w="3827" w:type="dxa"/>
          </w:tcPr>
          <w:p w14:paraId="567FA17C"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Perusahaan yang terdaftar di Bursa Efek Indonesia</w:t>
            </w:r>
          </w:p>
        </w:tc>
      </w:tr>
      <w:tr w:rsidR="004613C7" w:rsidRPr="00497A00" w14:paraId="23C8EFE2" w14:textId="77777777" w:rsidTr="00497A00">
        <w:tc>
          <w:tcPr>
            <w:tcW w:w="1827" w:type="dxa"/>
          </w:tcPr>
          <w:p w14:paraId="64D1E02F"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Intervention</w:t>
            </w:r>
          </w:p>
        </w:tc>
        <w:tc>
          <w:tcPr>
            <w:tcW w:w="3827" w:type="dxa"/>
          </w:tcPr>
          <w:p w14:paraId="62925B64" w14:textId="77777777" w:rsidR="004613C7" w:rsidRPr="00497A00" w:rsidRDefault="004613C7" w:rsidP="00497A00">
            <w:pPr>
              <w:jc w:val="both"/>
              <w:rPr>
                <w:rFonts w:ascii="Cambria" w:hAnsi="Cambria" w:cs="Times New Roman"/>
                <w:i/>
                <w:iCs/>
                <w:sz w:val="24"/>
                <w:szCs w:val="24"/>
              </w:rPr>
            </w:pPr>
            <w:r w:rsidRPr="00497A00">
              <w:rPr>
                <w:rFonts w:ascii="Cambria" w:hAnsi="Cambria" w:cs="Times New Roman"/>
                <w:i/>
                <w:iCs/>
                <w:sz w:val="24"/>
                <w:szCs w:val="24"/>
              </w:rPr>
              <w:t>Good Corporate Governance</w:t>
            </w:r>
          </w:p>
        </w:tc>
      </w:tr>
      <w:tr w:rsidR="004613C7" w:rsidRPr="00497A00" w14:paraId="3A351A70" w14:textId="77777777" w:rsidTr="00497A00">
        <w:tc>
          <w:tcPr>
            <w:tcW w:w="1827" w:type="dxa"/>
          </w:tcPr>
          <w:p w14:paraId="6EA781CC"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Comparison</w:t>
            </w:r>
          </w:p>
        </w:tc>
        <w:tc>
          <w:tcPr>
            <w:tcW w:w="3827" w:type="dxa"/>
          </w:tcPr>
          <w:p w14:paraId="2B2B6101"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Kinerja Keuangan</w:t>
            </w:r>
          </w:p>
        </w:tc>
      </w:tr>
      <w:tr w:rsidR="004613C7" w:rsidRPr="00497A00" w14:paraId="7892AF87" w14:textId="77777777" w:rsidTr="00497A00">
        <w:tc>
          <w:tcPr>
            <w:tcW w:w="1827" w:type="dxa"/>
          </w:tcPr>
          <w:p w14:paraId="22440192"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Outcomes</w:t>
            </w:r>
          </w:p>
        </w:tc>
        <w:tc>
          <w:tcPr>
            <w:tcW w:w="3827" w:type="dxa"/>
          </w:tcPr>
          <w:p w14:paraId="25FD1170"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 xml:space="preserve">Korelasi antara </w:t>
            </w:r>
            <w:r w:rsidRPr="00497A00">
              <w:rPr>
                <w:rFonts w:ascii="Cambria" w:hAnsi="Cambria" w:cs="Times New Roman"/>
                <w:i/>
                <w:iCs/>
                <w:sz w:val="24"/>
                <w:szCs w:val="24"/>
              </w:rPr>
              <w:t>Good Corporate Governance</w:t>
            </w:r>
            <w:r w:rsidRPr="00497A00">
              <w:rPr>
                <w:rFonts w:ascii="Cambria" w:hAnsi="Cambria" w:cs="Times New Roman"/>
                <w:sz w:val="24"/>
                <w:szCs w:val="24"/>
              </w:rPr>
              <w:t xml:space="preserve"> dan Kinerja Keuangan</w:t>
            </w:r>
          </w:p>
        </w:tc>
      </w:tr>
    </w:tbl>
    <w:p w14:paraId="2E64D6F0" w14:textId="77777777" w:rsidR="004613C7" w:rsidRPr="00497A00" w:rsidRDefault="004613C7" w:rsidP="004613C7">
      <w:pPr>
        <w:spacing w:line="276" w:lineRule="auto"/>
        <w:ind w:left="720"/>
        <w:jc w:val="both"/>
        <w:rPr>
          <w:rFonts w:ascii="Cambria" w:hAnsi="Cambria" w:cs="Times New Roman"/>
          <w:sz w:val="24"/>
          <w:szCs w:val="24"/>
        </w:rPr>
      </w:pPr>
    </w:p>
    <w:p w14:paraId="6D9689A1"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cs="Times New Roman"/>
          <w:sz w:val="24"/>
          <w:szCs w:val="24"/>
        </w:rPr>
        <w:t>Penulisan tiga pertanyaan penelitian (RQ) yang relevan dengan tujuan penelitian berdasarkan PICO, yaitu :</w:t>
      </w:r>
    </w:p>
    <w:p w14:paraId="432ADA87"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cs="Times New Roman"/>
          <w:sz w:val="24"/>
          <w:szCs w:val="24"/>
        </w:rPr>
        <w:t>RQ 1</w:t>
      </w:r>
      <w:r w:rsidRPr="00497A00">
        <w:rPr>
          <w:rFonts w:ascii="Cambria" w:hAnsi="Cambria" w:cs="Times New Roman"/>
          <w:sz w:val="24"/>
          <w:szCs w:val="24"/>
        </w:rPr>
        <w:tab/>
        <w:t xml:space="preserve">: Proksi apa saja yang diaplikasikan dalam mengukur </w:t>
      </w:r>
      <w:r w:rsidRPr="00497A00">
        <w:rPr>
          <w:rFonts w:ascii="Cambria" w:hAnsi="Cambria" w:cs="Times New Roman"/>
          <w:i/>
          <w:iCs/>
          <w:sz w:val="24"/>
          <w:szCs w:val="24"/>
        </w:rPr>
        <w:t>Good Corporate Governance</w:t>
      </w:r>
      <w:r w:rsidRPr="00497A00">
        <w:rPr>
          <w:rFonts w:ascii="Cambria" w:hAnsi="Cambria" w:cs="Times New Roman"/>
          <w:sz w:val="24"/>
          <w:szCs w:val="24"/>
        </w:rPr>
        <w:t>?</w:t>
      </w:r>
    </w:p>
    <w:p w14:paraId="5E0E3C64"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cs="Times New Roman"/>
          <w:sz w:val="24"/>
          <w:szCs w:val="24"/>
        </w:rPr>
        <w:t>RQ 2</w:t>
      </w:r>
      <w:r w:rsidRPr="00497A00">
        <w:rPr>
          <w:rFonts w:ascii="Cambria" w:hAnsi="Cambria" w:cs="Times New Roman"/>
          <w:sz w:val="24"/>
          <w:szCs w:val="24"/>
        </w:rPr>
        <w:tab/>
        <w:t>: Proksi apa yang diaplikasikan dalam mengukur Kinerja keuangan?</w:t>
      </w:r>
    </w:p>
    <w:p w14:paraId="632FAFE1"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cs="Times New Roman"/>
          <w:sz w:val="24"/>
          <w:szCs w:val="24"/>
        </w:rPr>
        <w:t>RQ 3</w:t>
      </w:r>
      <w:r w:rsidRPr="00497A00">
        <w:rPr>
          <w:rFonts w:ascii="Cambria" w:hAnsi="Cambria" w:cs="Times New Roman"/>
          <w:sz w:val="24"/>
          <w:szCs w:val="24"/>
        </w:rPr>
        <w:tab/>
        <w:t xml:space="preserve">: Bagaimana korelasi antara </w:t>
      </w:r>
      <w:r w:rsidRPr="00497A00">
        <w:rPr>
          <w:rFonts w:ascii="Cambria" w:hAnsi="Cambria" w:cs="Times New Roman"/>
          <w:i/>
          <w:iCs/>
          <w:sz w:val="24"/>
          <w:szCs w:val="24"/>
        </w:rPr>
        <w:t>Good Corporate Governance</w:t>
      </w:r>
      <w:r w:rsidRPr="00497A00">
        <w:rPr>
          <w:rFonts w:ascii="Cambria" w:hAnsi="Cambria" w:cs="Times New Roman"/>
          <w:sz w:val="24"/>
          <w:szCs w:val="24"/>
        </w:rPr>
        <w:t xml:space="preserve"> dan kinerja keuangan?</w:t>
      </w:r>
    </w:p>
    <w:p w14:paraId="377B25A1" w14:textId="77777777" w:rsidR="004613C7" w:rsidRPr="00497A00" w:rsidRDefault="004613C7" w:rsidP="004613C7">
      <w:pPr>
        <w:spacing w:line="276" w:lineRule="auto"/>
        <w:ind w:left="720"/>
        <w:jc w:val="both"/>
        <w:rPr>
          <w:rFonts w:ascii="Cambria" w:hAnsi="Cambria" w:cs="Times New Roman"/>
          <w:b/>
          <w:bCs/>
          <w:sz w:val="24"/>
          <w:szCs w:val="24"/>
        </w:rPr>
      </w:pPr>
      <w:r w:rsidRPr="00497A00">
        <w:rPr>
          <w:rFonts w:ascii="Cambria" w:hAnsi="Cambria" w:cs="Times New Roman"/>
          <w:b/>
          <w:bCs/>
          <w:sz w:val="24"/>
          <w:szCs w:val="24"/>
        </w:rPr>
        <w:t>Pencarian Literatur</w:t>
      </w:r>
    </w:p>
    <w:p w14:paraId="0A5F51A1" w14:textId="77777777" w:rsidR="004613C7" w:rsidRPr="00497A00" w:rsidRDefault="004613C7" w:rsidP="004613C7">
      <w:pPr>
        <w:spacing w:line="276" w:lineRule="auto"/>
        <w:ind w:left="720"/>
        <w:jc w:val="both"/>
        <w:rPr>
          <w:rFonts w:ascii="Cambria" w:hAnsi="Cambria" w:cs="Times New Roman"/>
          <w:sz w:val="24"/>
          <w:szCs w:val="24"/>
        </w:rPr>
      </w:pPr>
      <w:r w:rsidRPr="00497A00">
        <w:rPr>
          <w:rFonts w:ascii="Cambria" w:hAnsi="Cambria" w:cs="Times New Roman"/>
          <w:sz w:val="24"/>
          <w:szCs w:val="24"/>
        </w:rPr>
        <w:t>Fokus riset, SLR ditujukan pada perusahaan yang tercatat di Bursa Efek Indonesia, pencarian literatur dengan jurnal yang terindeks pada database portal Google Scholar pada aplikasi Publish or Peelish. Seleksi pencarian literatur berdasarkan judul yaitu “</w:t>
      </w:r>
      <w:r w:rsidRPr="00497A00">
        <w:rPr>
          <w:rFonts w:ascii="Cambria" w:hAnsi="Cambria" w:cs="Times New Roman"/>
          <w:i/>
          <w:iCs/>
          <w:sz w:val="24"/>
          <w:szCs w:val="24"/>
        </w:rPr>
        <w:t>Good Corporate Governance</w:t>
      </w:r>
      <w:r w:rsidRPr="00497A00">
        <w:rPr>
          <w:rFonts w:ascii="Cambria" w:hAnsi="Cambria" w:cs="Times New Roman"/>
          <w:sz w:val="24"/>
          <w:szCs w:val="24"/>
        </w:rPr>
        <w:t xml:space="preserve"> dan Kinerja Keuangan. Hasil pencarian mengenai literature tersebut didapatkan 200 artikel dengan rentang waktu dari tahun 2019-2023. Penacraian literatur penelitian ini yaitu menggunakan kriteria inklusi dan ekslusi sebagaimana diuraikan pada tabel 2 berikut.</w:t>
      </w:r>
    </w:p>
    <w:p w14:paraId="6A862942" w14:textId="37E9CB21" w:rsidR="00497A00" w:rsidRPr="00497A00" w:rsidRDefault="004613C7" w:rsidP="00497A00">
      <w:pPr>
        <w:spacing w:line="276" w:lineRule="auto"/>
        <w:ind w:left="720"/>
        <w:jc w:val="center"/>
        <w:rPr>
          <w:rFonts w:ascii="Cambria" w:hAnsi="Cambria" w:cs="Times New Roman"/>
          <w:b/>
          <w:bCs/>
          <w:sz w:val="24"/>
          <w:szCs w:val="24"/>
        </w:rPr>
      </w:pPr>
      <w:r w:rsidRPr="00497A00">
        <w:rPr>
          <w:rFonts w:ascii="Cambria" w:hAnsi="Cambria" w:cs="Times New Roman"/>
          <w:b/>
          <w:bCs/>
          <w:sz w:val="24"/>
          <w:szCs w:val="24"/>
        </w:rPr>
        <w:t>Tabel 2.</w:t>
      </w:r>
    </w:p>
    <w:p w14:paraId="05CB538D" w14:textId="25B34C63" w:rsidR="004613C7" w:rsidRPr="00497A00" w:rsidRDefault="004613C7" w:rsidP="00497A00">
      <w:pPr>
        <w:spacing w:line="276" w:lineRule="auto"/>
        <w:ind w:left="720"/>
        <w:jc w:val="center"/>
        <w:rPr>
          <w:rFonts w:ascii="Cambria" w:hAnsi="Cambria" w:cs="Times New Roman"/>
          <w:b/>
          <w:bCs/>
          <w:sz w:val="24"/>
          <w:szCs w:val="24"/>
        </w:rPr>
      </w:pPr>
      <w:r w:rsidRPr="00497A00">
        <w:rPr>
          <w:rFonts w:ascii="Cambria" w:hAnsi="Cambria" w:cs="Times New Roman"/>
          <w:b/>
          <w:bCs/>
          <w:sz w:val="24"/>
          <w:szCs w:val="24"/>
        </w:rPr>
        <w:t>Kriteria Inklusi dan ekslusi</w:t>
      </w:r>
    </w:p>
    <w:tbl>
      <w:tblPr>
        <w:tblStyle w:val="TableGrid"/>
        <w:tblW w:w="0" w:type="auto"/>
        <w:tblInd w:w="10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5238"/>
      </w:tblGrid>
      <w:tr w:rsidR="004613C7" w:rsidRPr="00497A00" w14:paraId="002F4E79" w14:textId="77777777" w:rsidTr="00497A00">
        <w:tc>
          <w:tcPr>
            <w:tcW w:w="1969" w:type="dxa"/>
            <w:tcBorders>
              <w:bottom w:val="nil"/>
            </w:tcBorders>
          </w:tcPr>
          <w:p w14:paraId="6450F554"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t>Inklusi</w:t>
            </w:r>
          </w:p>
        </w:tc>
        <w:tc>
          <w:tcPr>
            <w:tcW w:w="5238" w:type="dxa"/>
            <w:tcBorders>
              <w:bottom w:val="nil"/>
            </w:tcBorders>
          </w:tcPr>
          <w:p w14:paraId="10E07EB2" w14:textId="77777777" w:rsidR="004613C7" w:rsidRPr="00497A00" w:rsidRDefault="004613C7" w:rsidP="00497A00">
            <w:pPr>
              <w:numPr>
                <w:ilvl w:val="0"/>
                <w:numId w:val="5"/>
              </w:numPr>
              <w:jc w:val="both"/>
              <w:rPr>
                <w:rFonts w:ascii="Cambria" w:hAnsi="Cambria" w:cs="Times New Roman"/>
                <w:sz w:val="24"/>
                <w:szCs w:val="24"/>
              </w:rPr>
            </w:pPr>
            <w:r w:rsidRPr="00497A00">
              <w:rPr>
                <w:rFonts w:ascii="Cambria" w:hAnsi="Cambria" w:cs="Times New Roman"/>
                <w:sz w:val="24"/>
                <w:szCs w:val="24"/>
              </w:rPr>
              <w:t>Studi penelitian yang sampelnya merupakan perusahaan yang terdaftar di BEI</w:t>
            </w:r>
          </w:p>
          <w:p w14:paraId="0F692AB7" w14:textId="77777777" w:rsidR="004613C7" w:rsidRPr="00497A00" w:rsidRDefault="004613C7" w:rsidP="00497A00">
            <w:pPr>
              <w:numPr>
                <w:ilvl w:val="0"/>
                <w:numId w:val="5"/>
              </w:numPr>
              <w:jc w:val="both"/>
              <w:rPr>
                <w:rFonts w:ascii="Cambria" w:hAnsi="Cambria" w:cs="Times New Roman"/>
                <w:sz w:val="24"/>
                <w:szCs w:val="24"/>
              </w:rPr>
            </w:pPr>
            <w:r w:rsidRPr="00497A00">
              <w:rPr>
                <w:rFonts w:ascii="Cambria" w:hAnsi="Cambria" w:cs="Times New Roman"/>
                <w:sz w:val="24"/>
                <w:szCs w:val="24"/>
              </w:rPr>
              <w:lastRenderedPageBreak/>
              <w:t>Merupakan studi yang mempunyai data jurnal lengkap</w:t>
            </w:r>
          </w:p>
          <w:p w14:paraId="50985CDC" w14:textId="77777777" w:rsidR="004613C7" w:rsidRPr="00497A00" w:rsidRDefault="004613C7" w:rsidP="00497A00">
            <w:pPr>
              <w:numPr>
                <w:ilvl w:val="0"/>
                <w:numId w:val="5"/>
              </w:numPr>
              <w:jc w:val="both"/>
              <w:rPr>
                <w:rFonts w:ascii="Cambria" w:hAnsi="Cambria" w:cs="Times New Roman"/>
                <w:sz w:val="24"/>
                <w:szCs w:val="24"/>
              </w:rPr>
            </w:pPr>
            <w:r w:rsidRPr="00497A00">
              <w:rPr>
                <w:rFonts w:ascii="Cambria" w:hAnsi="Cambria" w:cs="Times New Roman"/>
                <w:sz w:val="24"/>
                <w:szCs w:val="24"/>
              </w:rPr>
              <w:t>Artikel open access dari 5 tahun terakhir</w:t>
            </w:r>
          </w:p>
        </w:tc>
      </w:tr>
      <w:tr w:rsidR="004613C7" w:rsidRPr="00497A00" w14:paraId="72E2B25A" w14:textId="77777777" w:rsidTr="00497A00">
        <w:tc>
          <w:tcPr>
            <w:tcW w:w="1969" w:type="dxa"/>
            <w:tcBorders>
              <w:top w:val="nil"/>
              <w:bottom w:val="single" w:sz="4" w:space="0" w:color="auto"/>
            </w:tcBorders>
          </w:tcPr>
          <w:p w14:paraId="31E236AC" w14:textId="77777777" w:rsidR="004613C7" w:rsidRPr="00497A00" w:rsidRDefault="004613C7" w:rsidP="00497A00">
            <w:pPr>
              <w:jc w:val="both"/>
              <w:rPr>
                <w:rFonts w:ascii="Cambria" w:hAnsi="Cambria" w:cs="Times New Roman"/>
                <w:sz w:val="24"/>
                <w:szCs w:val="24"/>
              </w:rPr>
            </w:pPr>
            <w:r w:rsidRPr="00497A00">
              <w:rPr>
                <w:rFonts w:ascii="Cambria" w:hAnsi="Cambria" w:cs="Times New Roman"/>
                <w:sz w:val="24"/>
                <w:szCs w:val="24"/>
              </w:rPr>
              <w:lastRenderedPageBreak/>
              <w:t>Ekslusi</w:t>
            </w:r>
          </w:p>
        </w:tc>
        <w:tc>
          <w:tcPr>
            <w:tcW w:w="5238" w:type="dxa"/>
            <w:tcBorders>
              <w:top w:val="nil"/>
              <w:bottom w:val="single" w:sz="4" w:space="0" w:color="auto"/>
            </w:tcBorders>
          </w:tcPr>
          <w:p w14:paraId="4E583F99" w14:textId="77777777" w:rsidR="004613C7" w:rsidRPr="00497A00" w:rsidRDefault="004613C7" w:rsidP="00497A00">
            <w:pPr>
              <w:numPr>
                <w:ilvl w:val="0"/>
                <w:numId w:val="6"/>
              </w:numPr>
              <w:jc w:val="both"/>
              <w:rPr>
                <w:rFonts w:ascii="Cambria" w:hAnsi="Cambria" w:cs="Times New Roman"/>
                <w:sz w:val="24"/>
                <w:szCs w:val="24"/>
              </w:rPr>
            </w:pPr>
            <w:r w:rsidRPr="00497A00">
              <w:rPr>
                <w:rFonts w:ascii="Cambria" w:hAnsi="Cambria" w:cs="Times New Roman"/>
                <w:sz w:val="24"/>
                <w:szCs w:val="24"/>
              </w:rPr>
              <w:t>Studi yang hasil dan pembahasannya tidak dijelaskan lengkap</w:t>
            </w:r>
          </w:p>
          <w:p w14:paraId="2A8CB403" w14:textId="77777777" w:rsidR="004613C7" w:rsidRPr="00497A00" w:rsidRDefault="004613C7" w:rsidP="00497A00">
            <w:pPr>
              <w:numPr>
                <w:ilvl w:val="0"/>
                <w:numId w:val="6"/>
              </w:numPr>
              <w:jc w:val="both"/>
              <w:rPr>
                <w:rFonts w:ascii="Cambria" w:hAnsi="Cambria" w:cs="Times New Roman"/>
                <w:sz w:val="24"/>
                <w:szCs w:val="24"/>
              </w:rPr>
            </w:pPr>
            <w:r w:rsidRPr="00497A00">
              <w:rPr>
                <w:rFonts w:ascii="Cambria" w:hAnsi="Cambria" w:cs="Times New Roman"/>
                <w:sz w:val="24"/>
                <w:szCs w:val="24"/>
              </w:rPr>
              <w:t>Artikel yang bukan open access dari 5 tahun terakhir</w:t>
            </w:r>
          </w:p>
        </w:tc>
      </w:tr>
    </w:tbl>
    <w:p w14:paraId="7411847D" w14:textId="77777777" w:rsidR="00A27BA3" w:rsidRDefault="00A27BA3">
      <w:pPr>
        <w:spacing w:after="60" w:line="276" w:lineRule="auto"/>
        <w:rPr>
          <w:rFonts w:ascii="Cambria" w:eastAsia="Cambria" w:hAnsi="Cambria" w:cs="Cambria"/>
          <w:b/>
          <w:sz w:val="24"/>
          <w:szCs w:val="24"/>
        </w:rPr>
      </w:pPr>
    </w:p>
    <w:p w14:paraId="5F14B69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0FF1885E" w14:textId="77777777" w:rsidR="00497A00" w:rsidRDefault="00497A00" w:rsidP="00497A00">
      <w:pPr>
        <w:spacing w:after="60" w:line="276" w:lineRule="auto"/>
        <w:jc w:val="both"/>
        <w:rPr>
          <w:rFonts w:ascii="Cambria" w:eastAsia="Cambria" w:hAnsi="Cambria" w:cs="Cambria"/>
          <w:sz w:val="24"/>
          <w:szCs w:val="24"/>
        </w:rPr>
      </w:pPr>
      <w:r w:rsidRPr="00497A00">
        <w:rPr>
          <w:rFonts w:ascii="Cambria" w:eastAsia="Cambria" w:hAnsi="Cambria" w:cs="Cambria"/>
          <w:sz w:val="24"/>
          <w:szCs w:val="24"/>
        </w:rPr>
        <w:t>Berikut adalah hasil uraian dari beberapa penelitian terdahulu yang sudah merupakan sesuai kriteria inklusi dengan judul yang sejalan dengan penelitiann ini yang diuraikan pada tabel 3.</w:t>
      </w:r>
    </w:p>
    <w:p w14:paraId="32EA32AF" w14:textId="5DA73C83" w:rsidR="004E08B9" w:rsidRPr="004E08B9" w:rsidRDefault="004E08B9" w:rsidP="004E08B9">
      <w:pPr>
        <w:spacing w:line="276" w:lineRule="auto"/>
        <w:ind w:left="284"/>
        <w:jc w:val="center"/>
        <w:rPr>
          <w:rFonts w:ascii="Times New Roman" w:hAnsi="Times New Roman" w:cs="Times New Roman"/>
          <w:b/>
          <w:bCs/>
          <w:sz w:val="24"/>
          <w:szCs w:val="24"/>
        </w:rPr>
      </w:pPr>
      <w:r w:rsidRPr="004E08B9">
        <w:rPr>
          <w:rFonts w:ascii="Times New Roman" w:hAnsi="Times New Roman" w:cs="Times New Roman"/>
          <w:b/>
          <w:bCs/>
          <w:sz w:val="24"/>
          <w:szCs w:val="24"/>
        </w:rPr>
        <w:t>Tabel 3.</w:t>
      </w:r>
    </w:p>
    <w:p w14:paraId="1ACDF0C9" w14:textId="5D44C945" w:rsidR="004E08B9" w:rsidRDefault="004E08B9" w:rsidP="004E08B9">
      <w:pPr>
        <w:spacing w:line="276" w:lineRule="auto"/>
        <w:ind w:left="284"/>
        <w:jc w:val="center"/>
        <w:rPr>
          <w:rFonts w:ascii="Times New Roman" w:hAnsi="Times New Roman" w:cs="Times New Roman"/>
          <w:b/>
          <w:bCs/>
          <w:sz w:val="24"/>
          <w:szCs w:val="24"/>
        </w:rPr>
      </w:pPr>
      <w:r w:rsidRPr="004E08B9">
        <w:rPr>
          <w:rFonts w:ascii="Times New Roman" w:hAnsi="Times New Roman" w:cs="Times New Roman"/>
          <w:b/>
          <w:bCs/>
          <w:sz w:val="24"/>
          <w:szCs w:val="24"/>
        </w:rPr>
        <w:t>Hasil Systematic Literatur Review</w:t>
      </w:r>
    </w:p>
    <w:tbl>
      <w:tblPr>
        <w:tblStyle w:val="TableGrid"/>
        <w:tblW w:w="8222" w:type="dxa"/>
        <w:jc w:val="center"/>
        <w:tblBorders>
          <w:left w:val="none" w:sz="0" w:space="0" w:color="auto"/>
          <w:right w:val="none" w:sz="0" w:space="0" w:color="auto"/>
        </w:tblBorders>
        <w:tblLook w:val="04A0" w:firstRow="1" w:lastRow="0" w:firstColumn="1" w:lastColumn="0" w:noHBand="0" w:noVBand="1"/>
      </w:tblPr>
      <w:tblGrid>
        <w:gridCol w:w="991"/>
        <w:gridCol w:w="1292"/>
        <w:gridCol w:w="2319"/>
        <w:gridCol w:w="1525"/>
        <w:gridCol w:w="2095"/>
      </w:tblGrid>
      <w:tr w:rsidR="004E08B9" w:rsidRPr="004E08B9" w14:paraId="0206F283" w14:textId="77777777" w:rsidTr="004E08B9">
        <w:trPr>
          <w:jc w:val="center"/>
        </w:trPr>
        <w:tc>
          <w:tcPr>
            <w:tcW w:w="991" w:type="dxa"/>
          </w:tcPr>
          <w:p w14:paraId="71EE65D0" w14:textId="77777777" w:rsidR="004E08B9" w:rsidRPr="004E08B9" w:rsidRDefault="004E08B9" w:rsidP="004E08B9">
            <w:pPr>
              <w:jc w:val="center"/>
              <w:rPr>
                <w:rFonts w:ascii="Cambria" w:hAnsi="Cambria" w:cs="Times New Roman"/>
                <w:b/>
                <w:bCs/>
                <w:sz w:val="20"/>
                <w:szCs w:val="20"/>
              </w:rPr>
            </w:pPr>
            <w:r w:rsidRPr="004E08B9">
              <w:rPr>
                <w:rFonts w:ascii="Cambria" w:hAnsi="Cambria" w:cs="Times New Roman"/>
                <w:b/>
                <w:bCs/>
                <w:sz w:val="20"/>
                <w:szCs w:val="20"/>
              </w:rPr>
              <w:t>Kode Jurnal</w:t>
            </w:r>
          </w:p>
        </w:tc>
        <w:tc>
          <w:tcPr>
            <w:tcW w:w="1292" w:type="dxa"/>
          </w:tcPr>
          <w:p w14:paraId="61C4C2B0" w14:textId="77777777" w:rsidR="004E08B9" w:rsidRPr="004E08B9" w:rsidRDefault="004E08B9" w:rsidP="004E08B9">
            <w:pPr>
              <w:jc w:val="center"/>
              <w:rPr>
                <w:rFonts w:ascii="Cambria" w:hAnsi="Cambria" w:cs="Times New Roman"/>
                <w:b/>
                <w:bCs/>
                <w:sz w:val="20"/>
                <w:szCs w:val="20"/>
              </w:rPr>
            </w:pPr>
            <w:r w:rsidRPr="004E08B9">
              <w:rPr>
                <w:rFonts w:ascii="Cambria" w:hAnsi="Cambria" w:cs="Times New Roman"/>
                <w:b/>
                <w:bCs/>
                <w:sz w:val="20"/>
                <w:szCs w:val="20"/>
              </w:rPr>
              <w:t>Penulis (Tahun)</w:t>
            </w:r>
          </w:p>
        </w:tc>
        <w:tc>
          <w:tcPr>
            <w:tcW w:w="2319" w:type="dxa"/>
          </w:tcPr>
          <w:p w14:paraId="546DC9F4" w14:textId="77777777" w:rsidR="004E08B9" w:rsidRPr="004E08B9" w:rsidRDefault="004E08B9" w:rsidP="004E08B9">
            <w:pPr>
              <w:jc w:val="center"/>
              <w:rPr>
                <w:rFonts w:ascii="Cambria" w:hAnsi="Cambria" w:cs="Times New Roman"/>
                <w:b/>
                <w:bCs/>
                <w:sz w:val="20"/>
                <w:szCs w:val="20"/>
              </w:rPr>
            </w:pPr>
            <w:r w:rsidRPr="004E08B9">
              <w:rPr>
                <w:rFonts w:ascii="Cambria" w:hAnsi="Cambria" w:cs="Times New Roman"/>
                <w:b/>
                <w:bCs/>
                <w:sz w:val="20"/>
                <w:szCs w:val="20"/>
              </w:rPr>
              <w:t>Judul</w:t>
            </w:r>
          </w:p>
        </w:tc>
        <w:tc>
          <w:tcPr>
            <w:tcW w:w="1525" w:type="dxa"/>
          </w:tcPr>
          <w:p w14:paraId="12E984B0" w14:textId="77777777" w:rsidR="004E08B9" w:rsidRPr="004E08B9" w:rsidRDefault="004E08B9" w:rsidP="004E08B9">
            <w:pPr>
              <w:jc w:val="center"/>
              <w:rPr>
                <w:rFonts w:ascii="Cambria" w:hAnsi="Cambria" w:cs="Times New Roman"/>
                <w:b/>
                <w:bCs/>
                <w:sz w:val="20"/>
                <w:szCs w:val="20"/>
              </w:rPr>
            </w:pPr>
            <w:r w:rsidRPr="004E08B9">
              <w:rPr>
                <w:rFonts w:ascii="Cambria" w:hAnsi="Cambria" w:cs="Times New Roman"/>
                <w:b/>
                <w:bCs/>
                <w:sz w:val="20"/>
                <w:szCs w:val="20"/>
              </w:rPr>
              <w:t xml:space="preserve">Proksi </w:t>
            </w:r>
            <w:r w:rsidRPr="004E08B9">
              <w:rPr>
                <w:rFonts w:ascii="Cambria" w:hAnsi="Cambria" w:cs="Times New Roman"/>
                <w:b/>
                <w:bCs/>
                <w:i/>
                <w:iCs/>
                <w:sz w:val="20"/>
                <w:szCs w:val="20"/>
              </w:rPr>
              <w:t>Good Corporate Governance</w:t>
            </w:r>
          </w:p>
        </w:tc>
        <w:tc>
          <w:tcPr>
            <w:tcW w:w="2095" w:type="dxa"/>
          </w:tcPr>
          <w:p w14:paraId="23940EC2" w14:textId="77777777" w:rsidR="004E08B9" w:rsidRPr="004E08B9" w:rsidRDefault="004E08B9" w:rsidP="004E08B9">
            <w:pPr>
              <w:jc w:val="center"/>
              <w:rPr>
                <w:rFonts w:ascii="Cambria" w:hAnsi="Cambria" w:cs="Times New Roman"/>
                <w:b/>
                <w:bCs/>
                <w:sz w:val="20"/>
                <w:szCs w:val="20"/>
              </w:rPr>
            </w:pPr>
            <w:r w:rsidRPr="004E08B9">
              <w:rPr>
                <w:rFonts w:ascii="Cambria" w:hAnsi="Cambria" w:cs="Times New Roman"/>
                <w:b/>
                <w:bCs/>
                <w:sz w:val="20"/>
                <w:szCs w:val="20"/>
              </w:rPr>
              <w:t>Proksi Kinerja Keuangan</w:t>
            </w:r>
          </w:p>
        </w:tc>
      </w:tr>
      <w:tr w:rsidR="004E08B9" w:rsidRPr="004E08B9" w14:paraId="52E2DFD0" w14:textId="77777777" w:rsidTr="004E08B9">
        <w:trPr>
          <w:jc w:val="center"/>
        </w:trPr>
        <w:tc>
          <w:tcPr>
            <w:tcW w:w="991" w:type="dxa"/>
          </w:tcPr>
          <w:p w14:paraId="5F922A62"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w:t>
            </w:r>
          </w:p>
        </w:tc>
        <w:tc>
          <w:tcPr>
            <w:tcW w:w="1292" w:type="dxa"/>
          </w:tcPr>
          <w:p w14:paraId="0570E48C" w14:textId="2DDF5794"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fldChar w:fldCharType="begin" w:fldLock="1"/>
            </w:r>
            <w:r w:rsidRPr="004E08B9">
              <w:rPr>
                <w:rFonts w:ascii="Cambria" w:hAnsi="Cambria" w:cs="Times New Roman"/>
                <w:sz w:val="20"/>
                <w:szCs w:val="20"/>
              </w:rPr>
              <w:instrText>ADDIN CSL_CITATION {"citationItems":[{"id":"ITEM-1","itemData":{"DOI":"10.51510/polimedia.v24i4.1364","ISSN":"1410-7422","abstract":"Kinerja keuangan merupakan tolak ukur yang dapat menunjukkan kondisi perusahaan dalam keadaan baik atau buruk. Kondisi perusahaan yang baik akan menarik para investor untuk menanamkan modal mereka sehingga dapat meningkatkan kinerja keuangan perusahaan, namun apabila kondisi perusahaan tersebut buruk maka sistem pengelolaan perusahaan tersebut ditigkatkan lagi sehingga mendapatkan hasil seperti yang diharapkan. Penelitian ini bertujuan untuk menjelaskan pengaruh simultan dan parsial dari Good Corporate Governance yang terdiri dari variabel kepemilikan institusional, kepemilikan manajerial, dan komite audit terhadap kinerja keuangan perusahaa yang diukur dengan Returns On Assets. Populasi dalam penelitian ini adalah perusahaan manufaktur yang terdaftar di Bursa Efek Indonesia pada periode 2016-2020. Metode pengumpulan data menggunakan metode dokumentasi. Penelitian ini menggunakan analisis deskriptif dan regresi berganda untuk analisis data. Hasil penelitian yang telah dilakukan pada perusahaan manufaktur yang terdaftar di Bursa Efek Indonesia pada 2016-2020 menunjukkan bahwa secara parsial hanya komite audit yang berdampak signifikan terhadap kinerja keuangan perusahaan. Pengaruh simultan menunjukkan bahwa kepemilikan instututional, kepemilikan manajerial, dan komite audit bersama-sama signifikan pada kinerja keuangan perusahaan. Kesimpulan dari penelitian ini adalah secara simultan ada pengaruh antara variabel kepemilikan institusional, kepemilikan manajerial, dan komite audit terhadap kinerja keuangan perusahaan. Secara parsial hanya komite audit yang mempengaruhi kinerja keuangan perusahaan.","author":[{"dropping-particle":"","family":"Manurung","given":"Saurma Veronica","non-dropping-particle":"","parse-names":false,"suffix":""}],"container-title":"Majalah Iptek Politeknik Negeri Medan Polimedia","id":"ITEM-1","issue":"4","issued":{"date-parts":[["2023"]]},"note":"From Duplicate 1 (Pengaruh Good Corporate Governance Terhadap Kinerja Keuangan Pada Perusahaan Manufaktur Yang Terdaftar Di Bursa Efek Indonesia - Manurung, Saurma Veronica)\n\nCited By (since 2022): 11\n\nFrom Duplicate 2 (Pengaruh Good Corporate Governance Terhadap Kinerja Keuangan Pada Perusahaan Manufaktur Yang Terdaftar Di Bursa Efek Indonesia - Manurung, Saurma Veronica)\n\nCited By (since 2022): 6\n\nFrom Duplicate 3 (Pengaruh Good Corporate Governance Terhadap Kinerja Keuangan Pada Perusahaan Manufaktur Yang Terdaftar Di Bursa Efek Indonesia - Manurung, Saurma Veronica)\n\nFrom Duplicate 1 (Pengaruh Good Corporate Governance Terhadap Kinerja Keuangan Pada Perusahaan Manufaktur Yang Terdaftar Di Bursa Efek Indonesia - Manurung, Saurma Veronica)\n\nCited By (since 2022): 6\n\nFrom Duplicate 2 (Pengaruh Good Corporate Governance Terhadap Kinerja Keuangan Pada Perusahaan Manufaktur Yang Terdaftar Di Bursa Efek Indonesia - Manurung, Saurma Veronica)\n\nCited By (since 2022): 11","page":"62-80","publisher":"e-journal.unmas.ac.id","title":"Pengaruh Good Corporate Governance Terhadap Kinerja Keuangan Pada Perusahaan Manufaktur Yang Terdaftar Di Bursa Efek Indonesia","type":"article-journal","volume":"24"},"uris":["http://www.mendeley.com/documents/?uuid=749bf39d-31c4-4538-ba3c-427e8f54d6b8"]}],"mendeley":{"formattedCitation":"(Manurung, 2023)","plainTextFormattedCitation":"(Manurung, 2023)","previouslyFormattedCitation":"(Manurung, 2023)"},"properties":{"noteIndex":0},"schema":"https://github.com/citation-style-language/schema/raw/master/csl-citation.json"}</w:instrText>
            </w:r>
            <w:r w:rsidRPr="004E08B9">
              <w:rPr>
                <w:rFonts w:ascii="Cambria" w:hAnsi="Cambria" w:cs="Times New Roman"/>
                <w:sz w:val="20"/>
                <w:szCs w:val="20"/>
              </w:rPr>
              <w:fldChar w:fldCharType="separate"/>
            </w:r>
            <w:r w:rsidRPr="004E08B9">
              <w:rPr>
                <w:rFonts w:ascii="Cambria" w:hAnsi="Cambria" w:cs="Times New Roman"/>
                <w:noProof/>
                <w:sz w:val="20"/>
                <w:szCs w:val="20"/>
              </w:rPr>
              <w:t>(Manurung, 2023)</w:t>
            </w:r>
            <w:r w:rsidRPr="004E08B9">
              <w:rPr>
                <w:rFonts w:ascii="Cambria" w:hAnsi="Cambria" w:cs="Times New Roman"/>
                <w:sz w:val="20"/>
                <w:szCs w:val="20"/>
              </w:rPr>
              <w:fldChar w:fldCharType="end"/>
            </w:r>
          </w:p>
        </w:tc>
        <w:tc>
          <w:tcPr>
            <w:tcW w:w="2319" w:type="dxa"/>
          </w:tcPr>
          <w:p w14:paraId="56FC8B66"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 Pada Perusahaan Manufaktur Yang Terdaftar Di Bursa Efek Indonesia</w:t>
            </w:r>
          </w:p>
        </w:tc>
        <w:tc>
          <w:tcPr>
            <w:tcW w:w="1525" w:type="dxa"/>
          </w:tcPr>
          <w:p w14:paraId="317CBF4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institusional, Komisaris Independen, Komite Audit</w:t>
            </w:r>
          </w:p>
        </w:tc>
        <w:tc>
          <w:tcPr>
            <w:tcW w:w="2095" w:type="dxa"/>
          </w:tcPr>
          <w:p w14:paraId="19C26D2C"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646F81F9" w14:textId="77777777" w:rsidTr="004E08B9">
        <w:trPr>
          <w:jc w:val="center"/>
        </w:trPr>
        <w:tc>
          <w:tcPr>
            <w:tcW w:w="991" w:type="dxa"/>
          </w:tcPr>
          <w:p w14:paraId="64B11C8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A2.</w:t>
            </w:r>
          </w:p>
        </w:tc>
        <w:tc>
          <w:tcPr>
            <w:tcW w:w="1292" w:type="dxa"/>
          </w:tcPr>
          <w:p w14:paraId="79A1664C"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fldChar w:fldCharType="begin" w:fldLock="1"/>
            </w:r>
            <w:r w:rsidRPr="004E08B9">
              <w:rPr>
                <w:rFonts w:ascii="Cambria" w:hAnsi="Cambria" w:cs="Times New Roman"/>
                <w:sz w:val="20"/>
                <w:szCs w:val="20"/>
              </w:rPr>
              <w:instrText>ADDIN CSL_CITATION {"citationItems":[{"id":"ITEM-1","itemData":{"DOI":"10.47747/jbme.v3i4.834","abstract":"This study aims to find the effect of Good Carporate Governance (GCG) and Carporate Social Responsibility (CSR) on the financial performance of banking companies listed on the Indonesia Stock Exchange (IDX). This study uses a quantitative method with a population of banking companies for the 2018-2020 period and a purposive sampling technique was chosen to determine 20 samples that meet the criteria. Furthermore, the data collection technique uses secondary data from annual reports and financial reports. Meanwhile, the data analysis techniques carried out included descriptive statistical analysis, classical assumption test, regression analysis including hypothesis testing, and coefficient of determination with the help of SPSS version 25 application. The results showed that there was a significant positive effect between the board of directors and financial performance. Meanwhile, no effect was found between Managerial ownership, Independent Commissioner, and CSR in the economic category on financial performance. Furthermore, it was found that there was a simultaneous significant effect between the three variables of GCG and CSR on financial performance with an effect of 31.10%. Finally, this research can have implications for companies in implementing GCG and CSR in the future.","author":[{"dropping-particle":"","family":"Terzaghi","given":"M. Titan","non-dropping-particle":"","parse-names":false,"suffix":""},{"dropping-particle":"","family":"Ikhsan","given":"Rudi","non-dropping-particle":"","parse-names":false,"suffix":""}],"container-title":"Jurnal Bisnis, Manajemen, dan Ekonomi","id":"ITEM-1","issue":"4","issued":{"date-parts":[["2022"]]},"note":"Cited By (since 2022): 4","page":"181-195","publisher":"journal.ipm2kpe.or.id","title":"Pengaruh Good Corporate Governance dan Corporate Social Responsibility Terhadap Kinerja Keuangan Perbankan yang Terdaftar di BEI","type":"article-journal","volume":"3"},"uris":["http://www.mendeley.com/documents/?uuid=75c7cca7-30e2-45db-aee8-a4f629113ed4"]}],"mendeley":{"formattedCitation":"(Terzaghi &amp; Ikhsan, 2022)","plainTextFormattedCitation":"(Terzaghi &amp; Ikhsan, 2022)","previouslyFormattedCitation":"(Terzaghi &amp; Ikhsan, 2022)"},"properties":{"noteIndex":0},"schema":"https://github.com/citation-style-language/schema/raw/master/csl-citation.json"}</w:instrText>
            </w:r>
            <w:r w:rsidRPr="004E08B9">
              <w:rPr>
                <w:rFonts w:ascii="Cambria" w:hAnsi="Cambria" w:cs="Times New Roman"/>
                <w:sz w:val="20"/>
                <w:szCs w:val="20"/>
              </w:rPr>
              <w:fldChar w:fldCharType="separate"/>
            </w:r>
            <w:r w:rsidRPr="004E08B9">
              <w:rPr>
                <w:rFonts w:ascii="Cambria" w:hAnsi="Cambria" w:cs="Times New Roman"/>
                <w:noProof/>
                <w:sz w:val="20"/>
                <w:szCs w:val="20"/>
              </w:rPr>
              <w:t>(Terzaghi &amp; Ikhsan, 2022)</w:t>
            </w:r>
            <w:r w:rsidRPr="004E08B9">
              <w:rPr>
                <w:rFonts w:ascii="Cambria" w:hAnsi="Cambria" w:cs="Times New Roman"/>
                <w:sz w:val="20"/>
                <w:szCs w:val="20"/>
              </w:rPr>
              <w:fldChar w:fldCharType="end"/>
            </w:r>
          </w:p>
        </w:tc>
        <w:tc>
          <w:tcPr>
            <w:tcW w:w="2319" w:type="dxa"/>
          </w:tcPr>
          <w:p w14:paraId="3FDE7555"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w:t>
            </w:r>
            <w:r w:rsidRPr="004E08B9">
              <w:rPr>
                <w:rFonts w:ascii="Cambria" w:hAnsi="Cambria" w:cs="Times New Roman"/>
                <w:i/>
                <w:iCs/>
                <w:sz w:val="20"/>
                <w:szCs w:val="20"/>
              </w:rPr>
              <w:t>Corporate Social Responsibility</w:t>
            </w:r>
            <w:r w:rsidRPr="004E08B9">
              <w:rPr>
                <w:rFonts w:ascii="Cambria" w:hAnsi="Cambria" w:cs="Times New Roman"/>
                <w:sz w:val="20"/>
                <w:szCs w:val="20"/>
              </w:rPr>
              <w:t xml:space="preserve"> Terhadap Kinerja Keuangan Perbankan yang Terdaftar di BEI</w:t>
            </w:r>
          </w:p>
        </w:tc>
        <w:tc>
          <w:tcPr>
            <w:tcW w:w="1525" w:type="dxa"/>
          </w:tcPr>
          <w:p w14:paraId="5448244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Manajerial, Komisaris Independen dan dewan direksi</w:t>
            </w:r>
          </w:p>
        </w:tc>
        <w:tc>
          <w:tcPr>
            <w:tcW w:w="2095" w:type="dxa"/>
          </w:tcPr>
          <w:p w14:paraId="6EA5A9C9"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0FBA0017" w14:textId="77777777" w:rsidTr="004E08B9">
        <w:trPr>
          <w:jc w:val="center"/>
        </w:trPr>
        <w:tc>
          <w:tcPr>
            <w:tcW w:w="991" w:type="dxa"/>
          </w:tcPr>
          <w:p w14:paraId="24DA1456"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A3.</w:t>
            </w:r>
          </w:p>
        </w:tc>
        <w:tc>
          <w:tcPr>
            <w:tcW w:w="1292" w:type="dxa"/>
          </w:tcPr>
          <w:p w14:paraId="5D4AE9C7"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fldChar w:fldCharType="begin" w:fldLock="1"/>
            </w:r>
            <w:r w:rsidRPr="004E08B9">
              <w:rPr>
                <w:rFonts w:ascii="Cambria" w:hAnsi="Cambria" w:cs="Times New Roman"/>
                <w:sz w:val="20"/>
                <w:szCs w:val="20"/>
              </w:rPr>
              <w:instrText>ADDIN CSL_CITATION {"citationItems":[{"id":"ITEM-1","itemData":{"ISSN":"2686-5610","abstract":"This study aims to examine the effect of good corporate gover-nance on financial performance. The independent variable in this study is good corporate governance which is proxied as board of directors, board of independent commissioners, audit committees, managerial ownerships, and institutional ownerships, while the dependent variable of this study is financial performance which proxied as return on assets (ROA). The sample used in this study were 24 state-owned companies listed on IDX for the 2015-2019 period. The sampling method used is non-probability sampling. This study uses secondary data in the form of annual reports for the 2015-2019 period which obtained from the company's official website. The data collected were then analyzed by multiple linear regressions using SPSS 25. The results of this study show that board of independent commissioners have negative effects on ROA. This means that the greater the number of board independent commissioners, the lower the ROA will be. The results also show that other independent variables, namely board of directors, audit committees, managerial ownerships, and institutional ownerships have no effect on ROA.","author":[{"dropping-particle":"","family":"Megawati","given":"Happy","non-dropping-particle":"","parse-names":false,"suffix":""}],"container-title":"Media Akuntansi dan Perpajakan Indonesia","id":"ITEM-1","issue":"2","issued":{"date-parts":[["2021"]]},"note":"Cited By (since 2021): 8","page":"139-160","publisher":"journal.uc.ac.id","title":"Good Corporate Governance dan Kinerja Keuangan (Studi Empiris pada BUMN di Indonesia)","type":"article","volume":"2"},"uris":["http://www.mendeley.com/documents/?uuid=e21fa848-8760-4617-9daf-f56573a4b85b"]}],"mendeley":{"formattedCitation":"(Megawati, 2021)","plainTextFormattedCitation":"(Megawati, 2021)","previouslyFormattedCitation":"(Megawati, 2021)"},"properties":{"noteIndex":0},"schema":"https://github.com/citation-style-language/schema/raw/master/csl-citation.json"}</w:instrText>
            </w:r>
            <w:r w:rsidRPr="004E08B9">
              <w:rPr>
                <w:rFonts w:ascii="Cambria" w:hAnsi="Cambria" w:cs="Times New Roman"/>
                <w:sz w:val="20"/>
                <w:szCs w:val="20"/>
              </w:rPr>
              <w:fldChar w:fldCharType="separate"/>
            </w:r>
            <w:r w:rsidRPr="004E08B9">
              <w:rPr>
                <w:rFonts w:ascii="Cambria" w:hAnsi="Cambria" w:cs="Times New Roman"/>
                <w:noProof/>
                <w:sz w:val="20"/>
                <w:szCs w:val="20"/>
              </w:rPr>
              <w:t>(Megawati, 2021)</w:t>
            </w:r>
            <w:r w:rsidRPr="004E08B9">
              <w:rPr>
                <w:rFonts w:ascii="Cambria" w:hAnsi="Cambria" w:cs="Times New Roman"/>
                <w:sz w:val="20"/>
                <w:szCs w:val="20"/>
              </w:rPr>
              <w:fldChar w:fldCharType="end"/>
            </w:r>
          </w:p>
        </w:tc>
        <w:tc>
          <w:tcPr>
            <w:tcW w:w="2319" w:type="dxa"/>
          </w:tcPr>
          <w:p w14:paraId="1DF75C86"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Kinerja Keuangan (Studi Empiris pada BUMN di Indonesia)</w:t>
            </w:r>
          </w:p>
        </w:tc>
        <w:tc>
          <w:tcPr>
            <w:tcW w:w="1525" w:type="dxa"/>
          </w:tcPr>
          <w:p w14:paraId="35A5435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Dewan Komisaris independent, dewan direksi, komite audit, kepemilikan manajerial, dan kepemilikan institusional</w:t>
            </w:r>
          </w:p>
        </w:tc>
        <w:tc>
          <w:tcPr>
            <w:tcW w:w="2095" w:type="dxa"/>
          </w:tcPr>
          <w:p w14:paraId="201639F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4F6394D6" w14:textId="77777777" w:rsidTr="004E08B9">
        <w:trPr>
          <w:jc w:val="center"/>
        </w:trPr>
        <w:tc>
          <w:tcPr>
            <w:tcW w:w="991" w:type="dxa"/>
          </w:tcPr>
          <w:p w14:paraId="6DA2198A"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A4.</w:t>
            </w:r>
          </w:p>
        </w:tc>
        <w:tc>
          <w:tcPr>
            <w:tcW w:w="1292" w:type="dxa"/>
          </w:tcPr>
          <w:p w14:paraId="7EBAC342"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fldChar w:fldCharType="begin" w:fldLock="1"/>
            </w:r>
            <w:r w:rsidRPr="004E08B9">
              <w:rPr>
                <w:rFonts w:ascii="Cambria" w:hAnsi="Cambria" w:cs="Times New Roman"/>
                <w:sz w:val="20"/>
                <w:szCs w:val="20"/>
              </w:rPr>
              <w:instrText>ADDIN CSL_CITATION {"citationItems":[{"id":"ITEM-1","itemData":{"DOI":"10.53088/jadfi.v1i3.208","abstract":"Good Corporate Governance is the foundation that can make business conditions healthier to grow competence in the business sector and eliminate bribery and corruption cases. The objective-based of this research is to determine the effect of Good Corporate Governance (GCG) on the financial performance of banking companies. The population of this study was 12 companies for four periods, a sample of 44 observational data and data obtained from the IDX official website. The analytical method used is panel data regression. The results of this study indicate that institutional ownership, the board of directors, and the audit board have no significant effect on ROA. Meanwhile, institutional ownership has a significant effect on ROE. The board of directors and the audit committee do not significantly affect ROE. The application of Good Corporate Governance (GCG) in companies to generate profits using ROA and ROE profitability measures does not always affect the company's capacity to generate profits.","author":[{"dropping-particle":"","family":"Maridkha","given":"Antin","non-dropping-particle":"","parse-names":false,"suffix":""},{"dropping-particle":"","family":"Himmati","given":"Risdiana","non-dropping-particle":"","parse-names":false,"suffix":""}],"container-title":"Journal of Accounting and Digital Finance","id":"ITEM-1","issue":"3","issued":{"date-parts":[["2021"]]},"note":"From Duplicate 1 (Pengaruh good corporate governance terhadap kinerja keuangan perusahaan perbankan periode 2017-2020 - Maridkha, Antin; Himmati, Risdiana)\n\nFrom Duplicate 1 (Pengaruh good corporate governance terhadap kinerja keuangan perusahaan perbankan periode 2017-2020 - Maridkha, Antin; Himmati, Risdiana)\n\nCited By (since 2021): 20\n\nFrom Duplicate 2 (Pengaruh good corporate governance terhadap kinerja keuangan perusahaan perbankan periode 2017-2020 - Maridkha, Antin; Himmati, Risdiana)\n\nCited By (since 2023): 1\n\nFrom Duplicate 3 (Pengaruh good corporate governance terhadap kinerja keuangan perusahaan perbankan periode 2017-2020 - Maridkha, Antin; Himmati, Risdiana)\n\nFrom Duplicate 1 (Pengaruh good corporate governance terhadap kinerja keuangan perusahaan perbankan periode 2017-2020 - Maridkha, Antin; Himmati, Risdiana)\n\nCited By (since 2022): 4\n\nFrom Duplicate 2 (Pengaruh good corporate governance terhadap kinerja keuangan perusahaan perbankan periode 2017-2020 - Maridkha, Antin; Himmati, Risdiana)\n\nCited By (since 2023): 1\n\nFrom Duplicate 3 (Pengaruh good corporate governance terhadap kinerja keuangan perusahaan perbankan periode 2017-2020 - Maridkha, Antin; Himmati, Risdiana)\n\nCited By (since 2021): 20\n\nFrom Duplicate 4 (Pengaruh good corporate governance terhadap kinerja keuangan perusahaan perbankan periode 2017-2020 - Maridkha, Antin; Himmati, Risdiana)\n\nCited By (since 2022): 12\n\nFrom Duplicate 5 (Pengaruh good corporate governance terhadap kinerja keuangan perusahaan perbankan periode 2017-2020 - Maridkha, Antin; Himmati, Risdiana)\n\nCited By (since 2021): 8\n\nFrom Duplicate 4 (Pengaruh good corporate governance terhadap kinerja keuangan perusahaan perbankan periode 2017-2020 - Maridkha, Antin; Himmati, Risdiana)\n\nCited By (since 2021): 8\n\nFrom Duplicate 5 (Pengaruh good corporate governance terhadap kinerja keuangan perusahaan perbankan periode 2017-2020 - Maridkha, Antin; Himmati, Risdiana)\n\nCited By (since 2022): 12\n\nFrom Duplicate 6 (Pengaruh good corporate governance terhadap kinerja keuangan perusahaan perbankan periode 2017-2020 - Maridkha, Antin; Himmati, Risdiana)\n\nCited By (since 2022): 4\n\nFrom Duplicate 2 (Pengaruh good corporate governance terhadap kinerja keuangan perusahaan perbankan periode 2017-2020 - Maridkha, Antin; Himmati, Risdiana)\n\nCited By (since 2021): 8\n\nFrom Duplicate 3 (Pengaruh good corporate governance terhadap kinerja keuangan perusahaan perbankan periode 2017-2020 - Maridkha, Antin; Himmati, Risdiana)\n\nCited By (since 2021): 20","page":"195-205","publisher":"journal.nurscienceinstitute.id","title":"Pengaruh good corporate governance terhadap kinerja keuangan perusahaan perbankan periode 2017-2020","type":"article-journal","volume":"1"},"uris":["http://www.mendeley.com/documents/?uuid=c54fcce0-03e3-47ec-b7ec-7ab2ee760acb"]}],"mendeley":{"formattedCitation":"(Maridkha &amp; Himmati, 2021)","plainTextFormattedCitation":"(Maridkha &amp; Himmati, 2021)","previouslyFormattedCitation":"(Maridkha &amp; Himmati, 2021)"},"properties":{"noteIndex":0},"schema":"https://github.com/citation-style-language/schema/raw/master/csl-citation.json"}</w:instrText>
            </w:r>
            <w:r w:rsidRPr="004E08B9">
              <w:rPr>
                <w:rFonts w:ascii="Cambria" w:hAnsi="Cambria" w:cs="Times New Roman"/>
                <w:sz w:val="20"/>
                <w:szCs w:val="20"/>
              </w:rPr>
              <w:fldChar w:fldCharType="separate"/>
            </w:r>
            <w:r w:rsidRPr="004E08B9">
              <w:rPr>
                <w:rFonts w:ascii="Cambria" w:hAnsi="Cambria" w:cs="Times New Roman"/>
                <w:noProof/>
                <w:sz w:val="20"/>
                <w:szCs w:val="20"/>
              </w:rPr>
              <w:t>(Maridkha &amp; Himmati, 2021)</w:t>
            </w:r>
            <w:r w:rsidRPr="004E08B9">
              <w:rPr>
                <w:rFonts w:ascii="Cambria" w:hAnsi="Cambria" w:cs="Times New Roman"/>
                <w:sz w:val="20"/>
                <w:szCs w:val="20"/>
              </w:rPr>
              <w:fldChar w:fldCharType="end"/>
            </w:r>
          </w:p>
        </w:tc>
        <w:tc>
          <w:tcPr>
            <w:tcW w:w="2319" w:type="dxa"/>
          </w:tcPr>
          <w:p w14:paraId="5DE1AC3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 perusahaan perbankan periode 2017-2020</w:t>
            </w:r>
          </w:p>
        </w:tc>
        <w:tc>
          <w:tcPr>
            <w:tcW w:w="1525" w:type="dxa"/>
          </w:tcPr>
          <w:p w14:paraId="3597BF53"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institusional, dewan direksi dan komite audit</w:t>
            </w:r>
          </w:p>
        </w:tc>
        <w:tc>
          <w:tcPr>
            <w:tcW w:w="2095" w:type="dxa"/>
          </w:tcPr>
          <w:p w14:paraId="19939FBB"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 ROE</w:t>
            </w:r>
          </w:p>
        </w:tc>
      </w:tr>
      <w:tr w:rsidR="004E08B9" w:rsidRPr="004E08B9" w14:paraId="292604A3" w14:textId="77777777" w:rsidTr="004E08B9">
        <w:trPr>
          <w:jc w:val="center"/>
        </w:trPr>
        <w:tc>
          <w:tcPr>
            <w:tcW w:w="991" w:type="dxa"/>
          </w:tcPr>
          <w:p w14:paraId="3A51AFA8"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A5.</w:t>
            </w:r>
          </w:p>
        </w:tc>
        <w:tc>
          <w:tcPr>
            <w:tcW w:w="1292" w:type="dxa"/>
          </w:tcPr>
          <w:p w14:paraId="6ACC98AB"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fldChar w:fldCharType="begin" w:fldLock="1"/>
            </w:r>
            <w:r w:rsidRPr="004E08B9">
              <w:rPr>
                <w:rFonts w:ascii="Cambria" w:hAnsi="Cambria" w:cs="Times New Roman"/>
                <w:sz w:val="20"/>
                <w:szCs w:val="20"/>
              </w:rPr>
              <w:instrText>ADDIN CSL_CITATION {"citationItems":[{"id":"ITEM-1","itemData":{"abstract":"Corporate Governance merupakan konsep yang diajukan untuk meningkatan kinerja keuangan melalui supervisi atau monitoring kinerja manajemen, sehingga tercapainya pengelolaan perusahaan yang lebih transparan dan akuntabel bagi semua pengguna laporan keuangan terutama bagi para stakeholders. Penelitian ini bertujuan untuk menguji apakah ada pengaruh dari mekanisme corporate governance (komisaris independen, komite audit, kepemilikan manajerial, dan kepemilikan institusional) terhadap kinerja keuangan pada perusahaan perbankan yang terdaftar di BEI pada tahun 2016 sampai 2018. Metode analisis statistik yang digunakan adalah regresi linier berganda. Hasil dari penelitian ini adalah bahwa ada pengaruh signifikan dari penerapan makanisme corporate governance yang terdiri dari komisaris independent, komite audit, dan kepemilikan institusonal terhadap kinerja keuangan yang diukur dengan Return On Asset (ROA), sedangkan kepemilikan mnajerial tidak berpengaruh signifikan terhadap kinerja keuangan","author":[{"dropping-particle":"","family":"Fadilla","given":"Umi","non-dropping-particle":"","parse-names":false,"suffix":""}],"container-title":"Fakultas ekonomi universitas islam indonesia yogyakarta","id":"ITEM-1","issued":{"date-parts":[["2020"]]},"note":"Cited By (since 2020): 8","publisher":"dspace.uii.ac.id","title":"Analisis Pengaruh Good Corporate Governance Terhadap Kinerja Keuangan Perusahaan Perbankan yang Terdaftar Pada BEI Pada Tahun 2016-2018","type":"book"},"uris":["http://www.mendeley.com/documents/?uuid=3110a5ef-0a79-4187-b948-d3715565b079"]}],"mendeley":{"formattedCitation":"(Fadilla, 2020)","plainTextFormattedCitation":"(Fadilla, 2020)","previouslyFormattedCitation":"(Fadilla, 2020)"},"properties":{"noteIndex":0},"schema":"https://github.com/citation-style-language/schema/raw/master/csl-citation.json"}</w:instrText>
            </w:r>
            <w:r w:rsidRPr="004E08B9">
              <w:rPr>
                <w:rFonts w:ascii="Cambria" w:hAnsi="Cambria" w:cs="Times New Roman"/>
                <w:sz w:val="20"/>
                <w:szCs w:val="20"/>
              </w:rPr>
              <w:fldChar w:fldCharType="separate"/>
            </w:r>
            <w:r w:rsidRPr="004E08B9">
              <w:rPr>
                <w:rFonts w:ascii="Cambria" w:hAnsi="Cambria" w:cs="Times New Roman"/>
                <w:noProof/>
                <w:sz w:val="20"/>
                <w:szCs w:val="20"/>
              </w:rPr>
              <w:t>(Fadilla, 2020)</w:t>
            </w:r>
            <w:r w:rsidRPr="004E08B9">
              <w:rPr>
                <w:rFonts w:ascii="Cambria" w:hAnsi="Cambria" w:cs="Times New Roman"/>
                <w:sz w:val="20"/>
                <w:szCs w:val="20"/>
              </w:rPr>
              <w:fldChar w:fldCharType="end"/>
            </w:r>
          </w:p>
        </w:tc>
        <w:tc>
          <w:tcPr>
            <w:tcW w:w="2319" w:type="dxa"/>
          </w:tcPr>
          <w:p w14:paraId="4609D3C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Analisis 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 Perusahaan Perbankan yang Terdaftar Pada BEI Pada Tahun 2016-2018</w:t>
            </w:r>
          </w:p>
        </w:tc>
        <w:tc>
          <w:tcPr>
            <w:tcW w:w="1525" w:type="dxa"/>
          </w:tcPr>
          <w:p w14:paraId="020D61D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Komisaris Independen, komite audit, kepemilikan institusional dan </w:t>
            </w:r>
            <w:r w:rsidRPr="004E08B9">
              <w:rPr>
                <w:rFonts w:ascii="Cambria" w:hAnsi="Cambria" w:cs="Times New Roman"/>
                <w:sz w:val="20"/>
                <w:szCs w:val="20"/>
              </w:rPr>
              <w:lastRenderedPageBreak/>
              <w:t>kepemilikan manajerial</w:t>
            </w:r>
          </w:p>
        </w:tc>
        <w:tc>
          <w:tcPr>
            <w:tcW w:w="2095" w:type="dxa"/>
          </w:tcPr>
          <w:p w14:paraId="5670317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lastRenderedPageBreak/>
              <w:t>ROA</w:t>
            </w:r>
          </w:p>
        </w:tc>
      </w:tr>
      <w:tr w:rsidR="004E08B9" w:rsidRPr="004E08B9" w14:paraId="362B8C14" w14:textId="77777777" w:rsidTr="004E08B9">
        <w:trPr>
          <w:jc w:val="center"/>
        </w:trPr>
        <w:tc>
          <w:tcPr>
            <w:tcW w:w="991" w:type="dxa"/>
          </w:tcPr>
          <w:p w14:paraId="328CB55C"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A6.</w:t>
            </w:r>
          </w:p>
        </w:tc>
        <w:tc>
          <w:tcPr>
            <w:tcW w:w="1292" w:type="dxa"/>
          </w:tcPr>
          <w:p w14:paraId="5B166396" w14:textId="77777777" w:rsidR="004E08B9" w:rsidRPr="004E08B9" w:rsidRDefault="004E08B9" w:rsidP="004E08B9">
            <w:pPr>
              <w:jc w:val="both"/>
              <w:rPr>
                <w:rFonts w:ascii="Cambria" w:hAnsi="Cambria" w:cs="Times New Roman"/>
                <w:sz w:val="20"/>
                <w:szCs w:val="20"/>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{"citationItems":[{"id":"ITEM-1","itemData":{"DOI":"10.32897/jsikap.v6i2.2129","ISSN":"2541-1691","abstract":"Tujuan dari penelitian ini adalah untuk mengujii dan menganalisis pengaruh good corporate governance yang diproksikan dengan kepemilikan institusional (KI), kepemilikan manajerial (KM) dan komite audit (KA) dan kinerja keuangan yang diproksikan dengan return on asset (ROA) terhadap nilai perusahaan (PBV). Jenis pendekatan dalam penelitian ini adalah pendekatan kuantitatif. Sampel penelitian ini diperoleh dengan menggunakanÂ  metode purposive sampling didapatkan sebanyak 17 perusahaan pada perusahaan sektorÂ  barang konsumsi yang terdaftar di Bursa Efek Indonesia (BEI) periode 2017-2020 (68 Observasi). Data yang digunakan adalah data sekunder. Metodea analisis yang digunakan adalah analisis regresi linier berganda dengan bantuan aplikasi eviwes 9. Hasil penelitian menunjukan bahwa secara parsial variabel good corporate governance yang diproksikan dengan kepemilikan institusional (KI) tidak berpengaruh signifikan terhadap nilai perusahaan, kepemilikan manajerial (KM) berpengaruh positif dan signifikan terhadap nilai perusahaan, komite audit (KA) tidak berpengaruh signifikan terhadap nilai perusahaan, dan kinerja keuangan yang diproksikan dengan return on asset (ROA) berpengaruh positif dan signifikan terhadap nilai perusahaan. DanÂ Â  secara simultan variabel good corporate governance yang diprksikan dengan kepemilikan institusional (KI), kepemilikan manajerial (KM), dan komite audit (KA) dan kinerja keuangan yang diproksikan dengan return on asset (ROA) berpengaruh positif dan signifikan terhadap nilai perusahaan.Â ","author":[{"dropping-particle":"","family":"Sanusi","given":"Ida Koswara","non-dropping-particle":"","parse-names":false,"suffix":""},{"dropping-particle":"","family":"Leviany","given":"Tevi","non-dropping-particle":"","parse-names":false,"suffix":""},{"dropping-particle":"","family":"Handayani","given":"Wuri","non-dropping-particle":"","parse-names":false,"suffix":""}],"container-title":"Jurnal SIKAP (Sistem Informasi, Keuangan, Auditing Dan Perpajakan)","id":"ITEM-1","issue":"2","issued":{"date-parts":[["2022"]]},"note":"Cited By (since 2019): 16","page":"238","publisher":"jurnalmahasiswa.stiesia.ac.id","title":"Pengaruh Good Corporate Governance Dan Kinerja Keuangan Terhadap Nilai Perusahaan","type":"article-journal","volume":"6"},"uris":["http://www.mendeley.com/documents/?uuid=e3c832b6-ec1c-419d-b930-fe56ce7e1987"]}],"mendeley":{"formattedCitation":"(Sanusi et al., 2022)","plainTextFormattedCitation":"(Sanusi et al., 2022)","previouslyFormattedCitation":"(Sanusi et al., 2022)"},"properties":{"noteIndex":0},"schema":"https://github.com/citation-style-language/schema/raw/master/csl-citation.json"}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(Sanusi et al., 2022)</w:t>
            </w:r>
            <w:r w:rsidRPr="004E08B9">
              <w:rPr>
                <w:rFonts w:ascii="Cambria" w:eastAsia="Times New Roman" w:hAnsi="Cambria" w:cs="Times New Roman"/>
                <w:sz w:val="20"/>
                <w:szCs w:val="20"/>
                <w:lang w:eastAsia="en-GB"/>
              </w:rPr>
              <w:fldChar w:fldCharType="end"/>
            </w:r>
          </w:p>
        </w:tc>
        <w:tc>
          <w:tcPr>
            <w:tcW w:w="2319" w:type="dxa"/>
          </w:tcPr>
          <w:p w14:paraId="04F7512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Kinerja Keuangan Terhadap Nilai Perusahaan</w:t>
            </w:r>
          </w:p>
        </w:tc>
        <w:tc>
          <w:tcPr>
            <w:tcW w:w="1525" w:type="dxa"/>
          </w:tcPr>
          <w:p w14:paraId="1EF20377"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institusional, kepemilikan manajerial dan komite audit</w:t>
            </w:r>
          </w:p>
        </w:tc>
        <w:tc>
          <w:tcPr>
            <w:tcW w:w="2095" w:type="dxa"/>
          </w:tcPr>
          <w:p w14:paraId="457BB715"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05FDA202" w14:textId="77777777" w:rsidTr="004E08B9">
        <w:trPr>
          <w:jc w:val="center"/>
        </w:trPr>
        <w:tc>
          <w:tcPr>
            <w:tcW w:w="991" w:type="dxa"/>
          </w:tcPr>
          <w:p w14:paraId="3FA9A0E0"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A7.</w:t>
            </w:r>
          </w:p>
        </w:tc>
        <w:tc>
          <w:tcPr>
            <w:tcW w:w="1292" w:type="dxa"/>
          </w:tcPr>
          <w:p w14:paraId="698D8165" w14:textId="77777777" w:rsidR="004E08B9" w:rsidRPr="004E08B9" w:rsidRDefault="004E08B9" w:rsidP="004E08B9">
            <w:pPr>
              <w:jc w:val="both"/>
              <w:rPr>
                <w:rFonts w:ascii="Cambria" w:hAnsi="Cambria" w:cs="Times New Roman"/>
                <w:sz w:val="20"/>
                <w:szCs w:val="20"/>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{"citationItems":[{"id":"ITEM-1","itemData":{"ISSN":"2443-3071","abstract":"This study aims to examine and analyze the influence of good corporate governance on corporate financial performance. Good corporate governance in this study is proxied by percentage of institutional ownership, composition of board of directors and composition of independent commissioner. The financial performance of a banking company is measured by Return on Equity (ROE). The population of this study are banking companies Book II and III listed on the Indonesia Stock Exchange (BEI), amounting to 29 companies. The technique of the sample using purposive sampling obtained 19 companies. The type of data used is secondary data. Data analysis technique in this research use multiple linear regression analysis. The results of this study partially indicate that the percentage of institutional ownership, composition of board of directors and composition of independent commissioner has no significant effect with the direction of negative coefficient on ROE. While the simultaneous percentage of institutional ownership, the composition of the board of directors and the composition of independent commissioners composition have significant effect on ROE with positive coefficient direction.","author":[{"dropping-particle":"","family":"Melania","given":"Vella","non-dropping-particle":"","parse-names":false,"suffix":""},{"dropping-particle":"","family":"Dewi","given":"Aminar Sutra","non-dropping-particle":"","parse-names":false,"suffix":""}],"container-title":"Sekolah Tinggi Ilmu Ekonomi KBP","id":"ITEM-1","issued":{"date-parts":[["2019"]]},"note":"Cited By (since 2019): 25","page":"1-15","publisher":"osf.io","title":"Pengaruh Good Corporate Governance Terhadap Kinerja Keuangan Dengan Manajemen Laba Sebagai Variabel Intervening Pada Perusahaan Perbankan Yang Terdaftar Di Bursa Efek Indonesia","type":"article"},"uris":["http://www.mendeley.com/documents/?uuid=397ee5ea-ac4c-4689-989a-8b8d9785ec35"]}],"mendeley":{"formattedCitation":"(Melania &amp; Dewi, 2019)","plainTextFormattedCitation":"(Melania &amp; Dewi, 2019)","previouslyFormattedCitation":"(Melania &amp; Dewi, 2019)"},"properties":{"noteIndex":0},"schema":"https://github.com/citation-style-language/schema/raw/master/csl-citation.json"}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(Melania &amp; Dewi, 2019)</w:t>
            </w:r>
            <w:r w:rsidRPr="004E08B9">
              <w:rPr>
                <w:rFonts w:ascii="Cambria" w:eastAsia="Times New Roman" w:hAnsi="Cambria" w:cs="Times New Roman"/>
                <w:sz w:val="20"/>
                <w:szCs w:val="20"/>
                <w:lang w:eastAsia="en-GB"/>
              </w:rPr>
              <w:fldChar w:fldCharType="end"/>
            </w:r>
          </w:p>
        </w:tc>
        <w:tc>
          <w:tcPr>
            <w:tcW w:w="2319" w:type="dxa"/>
          </w:tcPr>
          <w:p w14:paraId="74A9FF97"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 Dengan Manajemen Laba Sebagai Variabel Intervening Pada Perusahaan Perbankan Yang Terdaftar Di Bursa Efek Indonesia</w:t>
            </w:r>
          </w:p>
        </w:tc>
        <w:tc>
          <w:tcPr>
            <w:tcW w:w="1525" w:type="dxa"/>
          </w:tcPr>
          <w:p w14:paraId="38BF4662"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institusional, dewan direksi, komisaris independen</w:t>
            </w:r>
          </w:p>
        </w:tc>
        <w:tc>
          <w:tcPr>
            <w:tcW w:w="2095" w:type="dxa"/>
          </w:tcPr>
          <w:p w14:paraId="1CFBE14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ROE</w:t>
            </w:r>
          </w:p>
        </w:tc>
      </w:tr>
      <w:tr w:rsidR="004E08B9" w:rsidRPr="004E08B9" w14:paraId="03576771" w14:textId="77777777" w:rsidTr="004E08B9">
        <w:trPr>
          <w:jc w:val="center"/>
        </w:trPr>
        <w:tc>
          <w:tcPr>
            <w:tcW w:w="991" w:type="dxa"/>
          </w:tcPr>
          <w:p w14:paraId="6E3CD1F5"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A8.</w:t>
            </w:r>
          </w:p>
        </w:tc>
        <w:tc>
          <w:tcPr>
            <w:tcW w:w="1292" w:type="dxa"/>
          </w:tcPr>
          <w:p w14:paraId="2E4F9CCA"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{"citationItems":[{"id":"ITEM-1","itemData":{"DOI":"10.59141/comserva.v2i5.339","ISSN":"2798-5652","abstract":"This study aims to analyze the effect of good corporate governance and environmental performance on the company's financial performance. The population of this study are non-cyclical consumer sector companies listed on the Indonesia Stock Exchange (IDX) in 2019 to 2021. Based on the criteria determined using the purposive sampling technique, a research sample of 81 companies was generated for three years. The research method used is multiple regression model. The results showed that the independent board of commissioners and institutional ownership had a positive effect on financial performance, while the audit committee and environmental performance had no effect on financial performance.","author":[{"dropping-particle":"","family":"Sakana Qalbi","given":"Adhara","non-dropping-particle":"","parse-names":false,"suffix":""},{"dropping-particle":"","family":"Hermi","given":"Hermi","non-dropping-particle":"","parse-names":false,"suffix":""}],"container-title":"COMSERVA Indonesian Jurnal of Community Services and Development","id":"ITEM-1","issue":"5","issued":{"date-parts":[["2022"]]},"note":"From Duplicate 1 (Pengaruh Good Corporate Governance dan Environmental Performance Terhadap Kinerja Keuangan Perusahaan - Sakana Qalbi, Adhara; Hermi, Hermi)\n\nCited By (since 2022): 2\n\nFrom Duplicate 2 (Pengaruh Good Corporate Governance dan Environmental Performance Terhadap Kinerja Keuangan Perusahaan - Sakana Qalbi, Adhara; Hermi, Hermi)\n\nFrom Duplicate 1 (Pengaruh Good Corporate Governance dan Environmental Performance Terhadap Kinerja Keuangan Perusahaan - Sakana Qalbi, Adhara; Hermi, Hermi)\n\nCited By (since 2022): 4\n\nFrom Duplicate 2 (Pengaruh Good Corporate Governance dan Environmental Performance Terhadap Kinerja Keuangan Perusahaan - Sakana Qalbi, Adhara; Hermi, Hermi)\n\nCited By (since 2022): 2\n\nFrom Duplicate 3 (Pengaruh Good Corporate Governance dan Environmental Performance Terhadap Kinerja Keuangan Perusahaan - Sakana Qalbi, Adhara; Hermi, Hermi)\n\nCited By (since 2022): 4","page":"408-419","publisher":"jurnalmahasiswa.stiesia.ac.id","title":"Pengaruh Good Corporate Governance dan Environmental Performance Terhadap Kinerja Keuangan Perusahaan","type":"article-journal","volume":"2"},"uris":["http://www.mendeley.com/documents/?uuid=55172138-135d-4837-927d-f2ede29db782"]}],"mendeley":{"formattedCitation":"(Sakana Qalbi &amp; Hermi, 2022)","plainTextFormattedCitation":"(Sakana Qalbi &amp; Hermi, 2022)","previouslyFormattedCitation":"(Sakana Qalbi &amp; Hermi, 2022)"},"properties":{"noteIndex":0},"schema":"https://github.com/citation-style-language/schema/raw/master/csl-citation.json"}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(Sakana Qalbi &amp; Hermi, 2022)</w:t>
            </w:r>
            <w:r w:rsidRPr="004E08B9">
              <w:rPr>
                <w:rFonts w:ascii="Cambria" w:eastAsia="Times New Roman" w:hAnsi="Cambria" w:cs="Times New Roman"/>
                <w:sz w:val="20"/>
                <w:szCs w:val="20"/>
                <w:lang w:eastAsia="en-GB"/>
              </w:rPr>
              <w:fldChar w:fldCharType="end"/>
            </w:r>
          </w:p>
        </w:tc>
        <w:tc>
          <w:tcPr>
            <w:tcW w:w="2319" w:type="dxa"/>
          </w:tcPr>
          <w:p w14:paraId="3F3EC3BB"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Environmental Performance Terhadap Kinerja Keuangan Perusahaan</w:t>
            </w:r>
          </w:p>
        </w:tc>
        <w:tc>
          <w:tcPr>
            <w:tcW w:w="1525" w:type="dxa"/>
          </w:tcPr>
          <w:p w14:paraId="65E7A84F"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Dewan komisaris independent, komite audit, kepemilikan institusional</w:t>
            </w:r>
          </w:p>
        </w:tc>
        <w:tc>
          <w:tcPr>
            <w:tcW w:w="2095" w:type="dxa"/>
          </w:tcPr>
          <w:p w14:paraId="0330D49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4E9A1540" w14:textId="77777777" w:rsidTr="004E08B9">
        <w:trPr>
          <w:jc w:val="center"/>
        </w:trPr>
        <w:tc>
          <w:tcPr>
            <w:tcW w:w="991" w:type="dxa"/>
          </w:tcPr>
          <w:p w14:paraId="4B280656"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A9.</w:t>
            </w:r>
          </w:p>
        </w:tc>
        <w:tc>
          <w:tcPr>
            <w:tcW w:w="1292" w:type="dxa"/>
          </w:tcPr>
          <w:p w14:paraId="5987E91F"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{"citationItems":[{"id":"ITEM-1","itemData":{"DOI":"10.33087/ekonomis.v5i1.200","abstract":"The purpose of the study is to test the impact of good corporate governance, intellectual capital, and corporate size on food and beverage performance. This study sample is a food and beverage company registered in the Indonesian stock exchange. The analysis used in this study is linked to linear regression analysis. Studies show that good corporate governance consists of a few indicators, these indictments show that the size of the board of commissioners affects financial performance (roa), independent commissioners have no effect on financial performance (roa), and independent auditing committees affect financial performance (roa) and institutional ownership. No influence on financial performance (roa), the manager's ownership has no effect on financial performance (roa), and the committee's size also affects financial performance (roa). Apart from good company governance indicators, intellectual capital has no effect on financial performance (roa), and the company's size also affects financial performance.","author":[{"dropping-particle":"","family":"Aziz","given":"Arief Abdul","non-dropping-particle":"","parse-names":false,"suffix":""},{"dropping-particle":"","family":"Samrotun","given":"Yuli Chomsatu","non-dropping-particle":"","parse-names":false,"suffix":""},{"dropping-particle":"","family":"Dewi","given":"Riana Rachmawati","non-dropping-particle":"","parse-names":false,"suffix":""}],"container-title":"Ekonomis: Journal of Economics and Business","id":"ITEM-1","issue":"1","issued":{"date-parts":[["2021"]]},"note":"Cited By (since 2021): 7","page":"46","publisher":"ekonomis.unbari.ac.id","title":"Pengaruh Good Corporate Governance, Modal Intelektual, Ukuran Perusahaan terhadap Kinerja Keuangan pada Perusahaan Makanan","type":"article-journal","volume":"5"},"uris":["http://www.mendeley.com/documents/?uuid=d4b685f8-325c-4a46-9c63-e585c72978f9"]}],"mendeley":{"formattedCitation":"(Aziz et al., 2021)","plainTextFormattedCitation":"(Aziz et al., 2021)","previouslyFormattedCitation":"(Aziz et al., 2021)"},"properties":{"noteIndex":0},"schema":"https://github.com/citation-style-language/schema/raw/master/csl-citation.json"}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(Aziz et al., 2021)</w:t>
            </w:r>
            <w:r w:rsidRPr="004E08B9">
              <w:rPr>
                <w:rFonts w:ascii="Cambria" w:eastAsia="Times New Roman" w:hAnsi="Cambria" w:cs="Times New Roman"/>
                <w:sz w:val="20"/>
                <w:szCs w:val="20"/>
                <w:lang w:eastAsia="en-GB"/>
              </w:rPr>
              <w:fldChar w:fldCharType="end"/>
            </w:r>
          </w:p>
        </w:tc>
        <w:tc>
          <w:tcPr>
            <w:tcW w:w="2319" w:type="dxa"/>
          </w:tcPr>
          <w:p w14:paraId="4E073DA7"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Modal Intelektual, Ukuran Perusahaan terhadap Kinerja Keuangan pada Perusahaan Makanan</w:t>
            </w:r>
          </w:p>
        </w:tc>
        <w:tc>
          <w:tcPr>
            <w:tcW w:w="1525" w:type="dxa"/>
          </w:tcPr>
          <w:p w14:paraId="06D4FF05"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Dewan direksi, komisaris independent, komite audit, kepemilikan institusional, kepemilikan manajerial, dewan komisaris</w:t>
            </w:r>
          </w:p>
        </w:tc>
        <w:tc>
          <w:tcPr>
            <w:tcW w:w="2095" w:type="dxa"/>
          </w:tcPr>
          <w:p w14:paraId="3448240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0FFC9745" w14:textId="77777777" w:rsidTr="004E08B9">
        <w:trPr>
          <w:jc w:val="center"/>
        </w:trPr>
        <w:tc>
          <w:tcPr>
            <w:tcW w:w="991" w:type="dxa"/>
          </w:tcPr>
          <w:p w14:paraId="082E1EC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A10.</w:t>
            </w:r>
          </w:p>
        </w:tc>
        <w:tc>
          <w:tcPr>
            <w:tcW w:w="1292" w:type="dxa"/>
          </w:tcPr>
          <w:p w14:paraId="6C5E982B"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{"citationItems":[{"id":"ITEM-1","itemData":{"abstract":"Financial performance is the first face for companies that determine the willingness of investors to invest their capital. For businesses, financial performance is crucial because it serves as a gauge for assessing the health of the organization's finances. As a result, businesses need to be aware of the variables that can impact financial performance. With good corporate governance acting as a moderator, this study aims to collect empirical evidence and investigate the impact of implementing green accounting, intellectual capital, and firm size on financial performance. Companies in the energy sector that are listed on the IDX for the 2019–2021 period were the focus of this research. Purposive sampling was used in the sampling technique, and samples from 20 companies were obtained. Multiple linear regression and moderate regression analysis are the data analysis methods used. The results show that the implementation of green accounting has no effect on financial performance, intellectual capital has an effect on financial performance, and firm size has an effect on financial performance. Good corporate governance is not able to moderate the effect of implementing green accounting and firm size on financial performance, conversely good corporate governance is able to moderate the effect of intellectual capital on financial performance. Keywords:","author":[{"dropping-particle":"","family":"Ulfa","given":"Maria","non-dropping-particle":"","parse-names":false,"suffix":""},{"dropping-particle":"","family":"Citradewi","given":"Adelina","non-dropping-particle":"","parse-names":false,"suffix":""}],"container-title":"Jurnal Riset Akuntansi","id":"ITEM-1","issue":"2","issued":{"date-parts":[["2023"]]},"note":"Cited By (since 2023): 1","page":"237-256","publisher":"e-journal.unmas.ac.id","title":"Peran Good Corporate Governance dalam Memoderasi Faktor-Faktor yang Mempengaruhi Kinerja Keuangan","type":"article-journal","volume":"13"},"uris":["http://www.mendeley.com/documents/?uuid=2ec080d9-f484-426b-a576-a53fa3eb25ae"]}],"mendeley":{"formattedCitation":"(Ulfa &amp; Citradewi, 2023)","plainTextFormattedCitation":"(Ulfa &amp; Citradewi, 2023)","previouslyFormattedCitation":"(Ulfa &amp; Citradewi, 2023)"},"properties":{"noteIndex":0},"schema":"https://github.com/citation-style-language/schema/raw/master/csl-citation.json"}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(Ulfa &amp; Citradewi, 2023)</w:t>
            </w:r>
            <w:r w:rsidRPr="004E08B9">
              <w:rPr>
                <w:rFonts w:ascii="Cambria" w:eastAsia="Times New Roman" w:hAnsi="Cambria" w:cs="Times New Roman"/>
                <w:sz w:val="20"/>
                <w:szCs w:val="20"/>
                <w:lang w:eastAsia="en-GB"/>
              </w:rPr>
              <w:fldChar w:fldCharType="end"/>
            </w:r>
          </w:p>
        </w:tc>
        <w:tc>
          <w:tcPr>
            <w:tcW w:w="2319" w:type="dxa"/>
          </w:tcPr>
          <w:p w14:paraId="0400A375"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Peran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dalam Memoderasi Faktor-Faktor yang Mempengaruhi Kinerja Keuangan</w:t>
            </w:r>
          </w:p>
        </w:tc>
        <w:tc>
          <w:tcPr>
            <w:tcW w:w="1525" w:type="dxa"/>
          </w:tcPr>
          <w:p w14:paraId="278B8078"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manajerial</w:t>
            </w:r>
          </w:p>
        </w:tc>
        <w:tc>
          <w:tcPr>
            <w:tcW w:w="2095" w:type="dxa"/>
          </w:tcPr>
          <w:p w14:paraId="2DCC419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75566FE3" w14:textId="77777777" w:rsidTr="004E08B9">
        <w:trPr>
          <w:jc w:val="center"/>
        </w:trPr>
        <w:tc>
          <w:tcPr>
            <w:tcW w:w="991" w:type="dxa"/>
          </w:tcPr>
          <w:p w14:paraId="6843F700"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A11.</w:t>
            </w:r>
          </w:p>
        </w:tc>
        <w:tc>
          <w:tcPr>
            <w:tcW w:w="1292" w:type="dxa"/>
          </w:tcPr>
          <w:p w14:paraId="1267990A"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{"citationItems":[{"id":"ITEM-1","itemData":{"DOI":"10.47080/progress.v4i1.1099","ISSN":"2623-0763","abstract":"This study aims to determine the effect of Good Corporate Governance which consists of the Audit Committee Size as Variable on the Company's Financial Performance which is calculated using Return On Assets. This study was conducted on Agricultural Sub Sektor companies listed on the Indonesia Stock Exchange in 2015-2019. Samples were taken using purposive sampling technique. The number of samples is 9 companies with 5 years of financial reports. The method of analysis used in this study is a simple linear regression method. The results of this study indicate that Good Corporate Governance (Audit Committee Size) has a significant effect on Company Financial Performance (ROA) with value of tcount is 2.194 and ttable is 2.016, for sig. 0.034. And the value of R Square Good Corporate Governance on the Company's Financial Performance is 10.1% while 89.9% is influenced by other variables which are not discussed in this study.","author":[{"dropping-particle":"","family":"Rahmawati","given":"Iroh","non-dropping-particle":"","parse-names":false,"suffix":""},{"dropping-particle":"","family":"Kitrianti","given":"Putri","non-dropping-particle":"","parse-names":false,"suffix":""}],"container-title":"Progress: Jurnal Pendidikan, Akuntansi dan Keuangan","id":"ITEM-1","issue":"1","issued":{"date-parts":[["2021"]]},"note":"Cited By (since 2021): 4","page":"74-86","publisher":"ejournal.lppm-unbaja.ac.id","title":"Pengaruh Good Corporate Governance Terhadap Kinerja Keuangan Perusahaan Pada Perusahaan Agrikultur Sub Sektor Perkebunan Yang Terdaftar Di Bei Periode Tahun 2015-2019","type":"article-journal","volume":"4"},"uris":["http://www.mendeley.com/documents/?uuid=f1836547-bcb1-437e-b897-8492296423f5"]}],"mendeley":{"formattedCitation":"(Rahmawati &amp; Kitrianti, 2021)","plainTextFormattedCitation":"(Rahmawati &amp; Kitrianti, 2021)","previouslyFormattedCitation":"(Rahmawati &amp; Kitrianti, 2021)"},"properties":{"noteIndex":0},"schema":"https://github.com/citation-style-language/schema/raw/master/csl-citation.json"}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(Rahmawati &amp; Kitrianti, 2021)</w:t>
            </w:r>
            <w:r w:rsidRPr="004E08B9">
              <w:rPr>
                <w:rFonts w:ascii="Cambria" w:eastAsia="Times New Roman" w:hAnsi="Cambria" w:cs="Times New Roman"/>
                <w:sz w:val="20"/>
                <w:szCs w:val="20"/>
                <w:lang w:eastAsia="en-GB"/>
              </w:rPr>
              <w:fldChar w:fldCharType="end"/>
            </w:r>
          </w:p>
        </w:tc>
        <w:tc>
          <w:tcPr>
            <w:tcW w:w="2319" w:type="dxa"/>
          </w:tcPr>
          <w:p w14:paraId="2B66C689"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 Perusahaan Pada Perusahaan Agrikultur Sub Sektor Perkebunan Yang Terdaftar Di Bei Periode Tahun 2015-2019</w:t>
            </w:r>
          </w:p>
        </w:tc>
        <w:tc>
          <w:tcPr>
            <w:tcW w:w="1525" w:type="dxa"/>
          </w:tcPr>
          <w:p w14:paraId="20DB4E90"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Komite audit</w:t>
            </w:r>
          </w:p>
        </w:tc>
        <w:tc>
          <w:tcPr>
            <w:tcW w:w="2095" w:type="dxa"/>
          </w:tcPr>
          <w:p w14:paraId="1861A728"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6C8C931A" w14:textId="77777777" w:rsidTr="004E08B9">
        <w:trPr>
          <w:jc w:val="center"/>
        </w:trPr>
        <w:tc>
          <w:tcPr>
            <w:tcW w:w="991" w:type="dxa"/>
          </w:tcPr>
          <w:p w14:paraId="100F46D0"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A12.</w:t>
            </w:r>
          </w:p>
        </w:tc>
        <w:tc>
          <w:tcPr>
            <w:tcW w:w="1292" w:type="dxa"/>
          </w:tcPr>
          <w:p w14:paraId="351C4A0B"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{"citationItems":[{"id":"ITEM-1","itemData":{"DOI":"10.24002/modus.v33i2.4668","ISSN":"0852-1875","abstract":"ABSTRACT A company will always attempt to reach its goal by increasing its efficiency and effectiveness. One of the ways to achieve the goal is by improving its intellectual capital, good corporate governance and financial performance. This study was conducted with the aim of finding empirical evidence about the effect of intellectual capital and good corporate governance on firm’s financial performance measured by Return on Assets (ROA) and Return on Equity (ROE) in the consumer goods sector listed on Indonesia Stock Exchange in the period of 2014-2018. The sample used in this study was 23 companies that met several criteria. The data analysis technique used is multiple regression analysis. The results of hypothesis testing show that intellectual capital positively affected firm’s financial performance. In contrast, good corporate governance did not affect positively firm’s financial performance. Keywords:  intellectual capital; good corporate governance; Return on Assets (ROA); Return on Equity (ROE)  ABSTRAK Perusahaan akan selalu berupaya untuk mencapai tujuannya dengan meningkatkan efisiensi dan efektivitas perusahaan. Salah satu upaya dalam mencapai tujuan adalah dengan meningkatkan intellectual capital, good corporate governance, dan kinerja keuangan perusahaan. Penelitian ini dilakukan dengan tujuan untuk memperoleh bukti empiris mengenai pengaruh intellectual capital dan good corporate governance terhadap kinerja keuangan perusahaan yang diukur dengan Return on Assets (ROA) dan Return on Equity (ROE) pada sektor barang konsumsi yang terdaftar di Bursa Efek Indonesia pada periode 2014-2018. Sampel yang digunakan dalam penelitian ini adalah sebanyak 23 perusahaan yang memenuhi beberapa kriteria. Analisis data yang digunakan adalah analisis regresi berganda. Hasil dalam penelitian ini menunjukkan bahwa intellectual capital memiliki pengaruh positif terhadap kinerja keuangan. Sebaliknya, good corporate governance tidak berpengaruh positif terhadap kinerja keuangan perusahaan.  Kata kunci:    intellectual capital; good corporate governance; Return on Assets (ROA); Return on Equity (ROE)","author":[{"dropping-particle":"","family":"Rahmadani","given":"Olvi","non-dropping-particle":"","parse-names":false,"suffix":""},{"dropping-particle":"","family":"Panggabean","given":"Rosinta Ria","non-dropping-particle":"","parse-names":false,"suffix":""}],"container-title":"Modus","id":"ITEM-1","issue":"2","issued":{"date-parts":[["2021"]]},"note":"Cited By (since 2021): 6","page":"212-233","publisher":"papers.ssrn.com","title":"Pengaruh Intellectual Capital Dan Good Corporate Governance Terhadap Kinerja Keuangan","type":"article-journal","volume":"33"},"uris":["http://www.mendeley.com/documents/?uuid=35aa2221-15cf-431f-9eac-1c431fd14dbe"]}],"mendeley":{"formattedCitation":"(Rahmadani &amp; Panggabean, 2021)","plainTextFormattedCitation":"(Rahmadani &amp; Panggabean, 2021)","previouslyFormattedCitation":"(Rahmadani &amp; Panggabean, 2021)"},"properties":{"noteIndex":0},"schema":"https://github.com/citation-style-language/schema/raw/master/csl-citation.json"}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(Rahmadani &amp; Panggabean, 2021)</w:t>
            </w:r>
            <w:r w:rsidRPr="004E08B9">
              <w:rPr>
                <w:rFonts w:ascii="Cambria" w:eastAsia="Times New Roman" w:hAnsi="Cambria" w:cs="Times New Roman"/>
                <w:sz w:val="20"/>
                <w:szCs w:val="20"/>
                <w:lang w:eastAsia="en-GB"/>
              </w:rPr>
              <w:fldChar w:fldCharType="end"/>
            </w:r>
          </w:p>
        </w:tc>
        <w:tc>
          <w:tcPr>
            <w:tcW w:w="2319" w:type="dxa"/>
          </w:tcPr>
          <w:p w14:paraId="19514F7B"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Intellectual Capital</w:t>
            </w:r>
            <w:r w:rsidRPr="004E08B9">
              <w:rPr>
                <w:rFonts w:ascii="Cambria" w:hAnsi="Cambria" w:cs="Times New Roman"/>
                <w:sz w:val="20"/>
                <w:szCs w:val="20"/>
              </w:rPr>
              <w:t xml:space="preserve"> Dan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Terhadap Kinerja Keuangan</w:t>
            </w:r>
          </w:p>
        </w:tc>
        <w:tc>
          <w:tcPr>
            <w:tcW w:w="1525" w:type="dxa"/>
          </w:tcPr>
          <w:p w14:paraId="5F62E019"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Komisaris independent, kepemilikan institusional, kepemilikan manajerial</w:t>
            </w:r>
          </w:p>
        </w:tc>
        <w:tc>
          <w:tcPr>
            <w:tcW w:w="2095" w:type="dxa"/>
          </w:tcPr>
          <w:p w14:paraId="6F3C04AF"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 &amp; ROE</w:t>
            </w:r>
          </w:p>
        </w:tc>
      </w:tr>
      <w:tr w:rsidR="004E08B9" w:rsidRPr="004E08B9" w14:paraId="155093F9" w14:textId="77777777" w:rsidTr="004E08B9">
        <w:trPr>
          <w:jc w:val="center"/>
        </w:trPr>
        <w:tc>
          <w:tcPr>
            <w:tcW w:w="991" w:type="dxa"/>
          </w:tcPr>
          <w:p w14:paraId="67F42B1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A13.</w:t>
            </w:r>
          </w:p>
        </w:tc>
        <w:tc>
          <w:tcPr>
            <w:tcW w:w="1292" w:type="dxa"/>
          </w:tcPr>
          <w:p w14:paraId="1D2587FE"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{"citationItems":[{"id":"ITEM-1","itemData":{"DOI":"10.35912/jakman.v4i4.2305","abstract":"Purpose: This study examines the effects of corporate governance mechanisms on financial performance. The population in this study is all consumer non-cyclical companies listed on the Indonesia Stock Exchange in 2019-2021). Methodology/approach: The variables used in this study were the company's financial performance as the dependent variable, the Influence of Corporate Governance Mechanisms as independent variables, and the Audit Committee and independent Board of Commissioners as control variables. The sampling technique used was the purposive sampling method and 126 data samples were obtained. The analytical method used is Descriptive Statistical Analysis, Classical Assumption Test, Correlation Test, Multiple Linear Regression Test, and Hypothesis Test Results: The results show that the influence of the Corporate Governance Mechanism with the Proxy of the Audit Committee has no effect on financial performance. The Independent Board of Commissioners has a positive effect on financial performance. In addition to the control variable, Firm Size does not affect financial performance, and Board Size does not affect financial performance.","author":[{"dropping-particle":"","family":"Utama","given":"Bryan Pramudya","non-dropping-particle":"","parse-names":false,"suffix":""},{"dropping-particle":"","family":"Sastrodiharjo","given":"Istianingsih","non-dropping-particle":"","parse-names":false,"suffix":""},{"dropping-particle":"","family":"Mukti","given":"Aloysius Harry","non-dropping-particle":"","parse-names":false,"suffix":""}],"container-title":"Jurnal Akuntansi, Keuangan, dan Manajemen","id":"ITEM-1","issue":"4","issued":{"date-parts":[["2023"]]},"note":"Cited By (since 2023): 3","page":"249-261","publisher":"penerbitgoodwood.com","title":"Pengaruh Mekanisme Tata Kelola Perusahaan terhadap Kinerja Keuangan Perusahaan: Studi Empiris pada Perusahaan Non Consumer Cyclicals yang Terdaftar di Bursa Efek Indonesia Periode 2019-2021","type":"article-journal","volume":"4"},"uris":["http://www.mendeley.com/documents/?uuid=89389720-295b-47d3-8c1d-7a6c59cb219b"]}],"mendeley":{"formattedCitation":"(Utama et al., 2023)","plainTextFormattedCitation":"(Utama et al., 2023)","previouslyFormattedCitation":"(Utama et al., 2023)"},"properties":{"noteIndex":0},"schema":"https://github.com/citation-style-language/schema/raw/master/csl-citation.json"}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(Utama et al., 2023)</w:t>
            </w:r>
            <w:r w:rsidRPr="004E08B9">
              <w:rPr>
                <w:rFonts w:ascii="Cambria" w:eastAsia="Times New Roman" w:hAnsi="Cambria" w:cs="Times New Roman"/>
                <w:sz w:val="20"/>
                <w:szCs w:val="20"/>
                <w:lang w:eastAsia="en-GB"/>
              </w:rPr>
              <w:fldChar w:fldCharType="end"/>
            </w:r>
          </w:p>
        </w:tc>
        <w:tc>
          <w:tcPr>
            <w:tcW w:w="2319" w:type="dxa"/>
          </w:tcPr>
          <w:p w14:paraId="43DEDA10"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Mekanisme Tata Kelola Perusahaan terhadap Kinerja Keuangan Perusahaan: Studi Empiris pada </w:t>
            </w:r>
            <w:r w:rsidRPr="004E08B9">
              <w:rPr>
                <w:rFonts w:ascii="Cambria" w:hAnsi="Cambria" w:cs="Times New Roman"/>
                <w:sz w:val="20"/>
                <w:szCs w:val="20"/>
              </w:rPr>
              <w:lastRenderedPageBreak/>
              <w:t>Perusahaan Non Consumer Cyclicals yang Terdaftar di Bursa Efek Indonesia Periode 2019-2021</w:t>
            </w:r>
          </w:p>
        </w:tc>
        <w:tc>
          <w:tcPr>
            <w:tcW w:w="1525" w:type="dxa"/>
          </w:tcPr>
          <w:p w14:paraId="576079E4"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lastRenderedPageBreak/>
              <w:t>Komite audit dan komisaris independen</w:t>
            </w:r>
          </w:p>
        </w:tc>
        <w:tc>
          <w:tcPr>
            <w:tcW w:w="2095" w:type="dxa"/>
          </w:tcPr>
          <w:p w14:paraId="2B31171E"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7590E436" w14:textId="77777777" w:rsidTr="004E08B9">
        <w:trPr>
          <w:jc w:val="center"/>
        </w:trPr>
        <w:tc>
          <w:tcPr>
            <w:tcW w:w="991" w:type="dxa"/>
          </w:tcPr>
          <w:p w14:paraId="4F49622A"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A14.</w:t>
            </w:r>
          </w:p>
        </w:tc>
        <w:tc>
          <w:tcPr>
            <w:tcW w:w="1292" w:type="dxa"/>
          </w:tcPr>
          <w:p w14:paraId="4D47D3A0"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{"citationItems":[{"id":"ITEM-1","itemData":{"DOI":"10.58872/si.v2i1.76","ISSN":"2685-6883","abstract":"Penelitian ini bertujuan untuk menganalisis pengaruh Good Corporate Governance dan ukuran perusahaan terhadap kinerja keuangan sektor perbankan yang terdaftar di Bursa Efek Indonesia Tahun 2012-2016 baik secara parsial maupun simultan. Populasi dalam penelitian ini adalah seluruh bank yang terdaftar di Bursa Efek Indonesia periode 2012-2016 yang berjumlah 42 bank. Pemilihan sampel melalui metode purposive sampling. Terdapat 25 perusahaan yang memenuhi kriteria sebagai sampel penelitian sehingga data penelitian berjumlah 125. Metode analisis untuk menguji hipotesis adalah uji asumsi klasik dan uji regresi linear berganda menggunakan SPSS 22. Hasil penelitian ini menunjukkan bahwa variabel Komite Audit dan Ukuran Perusahaan berpengaruh positif dan signifikan terhadap Kinerja Keuangan Perbankan yang terdaftar di Bursa Efek Indonesia periode 2012-2016. Hasil perhitungan menunjukkan F-hitung sebesar 0,680 dengan probabilitas tingkat kesalahan lebih kecil dari tingkat signifikansi yang diharapkan (0% &lt; 5%). Hal ini menunjukkan bahwa komite audit dan ukuran perusahaan secara simultan berpengaruh signifikan terhadap kinerja keuangan sektor perbankan yang terdaftar di Bursa Efek Indonesia tahun 2012-2016, sehingga Ha diterima. Nilai konstanta -2,623 berarti bahwa jika seluruh variabel dianggap konstan maka nilai Kinerja Keuangan Perbankan akan sebesar -2,623. Nilai koefisien determinasi (R2) sebesar 0,011. Nilai ini menunjukkan bahwa Kinerja Keuangan Perbankan yang terdaftar di Bursa Efek Indonesia periode 2012-2016 dipengaruhi oleh 11% variabel Komite Audit dan Ukuran Perusahaan dan 89% sisanya dipengaruhi oleh variabel yang tidak dijelaskan di penelitian ini.","author":[{"dropping-particle":"","family":"Fadillah","given":"Rizki Nurul","non-dropping-particle":"","parse-names":false,"suffix":""},{"dropping-particle":"","family":"Kandao","given":"Linda","non-dropping-particle":"","parse-names":false,"suffix":""},{"dropping-particle":"","family":"Kurniawan","given":"Thoriq","non-dropping-particle":"","parse-names":false,"suffix":""},{"dropping-particle":"","family":"Yohana","given":"","non-dropping-particle":"","parse-names":false,"suffix":""}],"container-title":"Sitra","id":"ITEM-1","issue":"1","issued":{"date-parts":[["2022"]]},"note":"Cited By (since 2022): 1","page":"41-51","publisher":"pusdansi.org","title":"Pengaruh Good Corporate Governance Dan Ukuran Perusahaan Terhadap Kinerja Keuangan Sektor Perbankan Yang Terdaftar Di Bursa Efek Indonesia Tahun 2012-2016","type":"article-journal","volume":"2"},"uris":["http://www.mendeley.com/documents/?uuid=5ed17e75-5667-4904-8c14-c0bd0a6cadb2"]}],"mendeley":{"formattedCitation":"(Fadillah et al., 2022)","plainTextFormattedCitation":"(Fadillah et al., 2022)","previouslyFormattedCitation":"(Fadillah et al., 2022)"},"properties":{"noteIndex":0},"schema":"https://github.com/citation-style-language/schema/raw/master/csl-citation.json"}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(Fadillah et al., 2022)</w:t>
            </w:r>
            <w:r w:rsidRPr="004E08B9">
              <w:rPr>
                <w:rFonts w:ascii="Cambria" w:eastAsia="Times New Roman" w:hAnsi="Cambria" w:cs="Times New Roman"/>
                <w:sz w:val="20"/>
                <w:szCs w:val="20"/>
                <w:lang w:eastAsia="en-GB"/>
              </w:rPr>
              <w:fldChar w:fldCharType="end"/>
            </w:r>
          </w:p>
        </w:tc>
        <w:tc>
          <w:tcPr>
            <w:tcW w:w="2319" w:type="dxa"/>
          </w:tcPr>
          <w:p w14:paraId="578E9051"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Pengaruh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Ukuran Perusahaan Terhadap Kinerja Keuangan Sektor Perbankan Yang Terdaftar Di Bursa Efek Indonesia Tahun 2012-2016</w:t>
            </w:r>
          </w:p>
        </w:tc>
        <w:tc>
          <w:tcPr>
            <w:tcW w:w="1525" w:type="dxa"/>
          </w:tcPr>
          <w:p w14:paraId="1343628C"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Komite audit</w:t>
            </w:r>
          </w:p>
        </w:tc>
        <w:tc>
          <w:tcPr>
            <w:tcW w:w="2095" w:type="dxa"/>
          </w:tcPr>
          <w:p w14:paraId="1B2856A6"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r w:rsidR="004E08B9" w:rsidRPr="004E08B9" w14:paraId="50CF7E8E" w14:textId="77777777" w:rsidTr="004E08B9">
        <w:trPr>
          <w:jc w:val="center"/>
        </w:trPr>
        <w:tc>
          <w:tcPr>
            <w:tcW w:w="991" w:type="dxa"/>
          </w:tcPr>
          <w:p w14:paraId="528FD783"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A15.</w:t>
            </w:r>
          </w:p>
        </w:tc>
        <w:tc>
          <w:tcPr>
            <w:tcW w:w="1292" w:type="dxa"/>
          </w:tcPr>
          <w:p w14:paraId="734BAC01" w14:textId="77777777" w:rsidR="004E08B9" w:rsidRPr="004E08B9" w:rsidRDefault="004E08B9" w:rsidP="004E08B9">
            <w:pPr>
              <w:rPr>
                <w:rFonts w:ascii="Cambria" w:eastAsia="Times New Roman" w:hAnsi="Cambria" w:cs="Times New Roman"/>
                <w:sz w:val="20"/>
                <w:szCs w:val="20"/>
                <w:lang w:eastAsia="en-GB"/>
              </w:rPr>
            </w:pPr>
            <w:r w:rsidRPr="004E08B9">
              <w:rPr>
                <w:rFonts w:ascii="Cambria" w:eastAsia="Times New Roman" w:hAnsi="Cambria" w:cs="Times New Roman"/>
                <w:sz w:val="20"/>
                <w:szCs w:val="20"/>
                <w:lang w:eastAsia="en-GB"/>
              </w:rPr>
              <w:fldChar w:fldCharType="begin" w:fldLock="1"/>
            </w:r>
            <w:r w:rsidRPr="004E08B9">
              <w:rPr>
                <w:rFonts w:ascii="Cambria" w:eastAsia="Times New Roman" w:hAnsi="Cambria" w:cs="Times New Roman"/>
                <w:sz w:val="20"/>
                <w:szCs w:val="20"/>
                <w:lang w:eastAsia="en-GB"/>
              </w:rPr>
              <w:instrText>ADDIN CSL_CITATION {"citationItems":[{"id":"ITEM-1","itemData":{"DOI":"10.31575/jp.v3i3.195","abstract":"This study aims to examine the mechanism of Good Corporate Governance And Leverage On Banking Financial Performance. the population is a banking company registered on the IDX in 2016, which is 43 companies. The sample collection technique has been done using a purposive sampling method and based on predetermined criteria, 8 companies have been selected as samples. The company's financial report data has been obtained from the official IDX website. The analytical method used is panel data regression analysis with the help of E-Views 8. The initial test is to test the Chow-Test to decide whether the Pooled Least Square method or Fixed Effect is used; and the Hausman-Test test to decide whether the Fixed Effect or Random Effect method can be used. The results showed that Managerial Ownership variables have a positive and not significant effect on financial performance that is proxy by ROA, the board of directors has a positive and significant effect on financial performance (ROA), leverage has a positive and not significant effect on financial performance (ROA).","author":[{"dropping-particle":"","family":"Meirina","given":"Elsa","non-dropping-particle":"","parse-names":false,"suffix":""},{"dropping-particle":"","family":"Abaharis","given":"Henryanto","non-dropping-particle":"","parse-names":false,"suffix":""}],"container-title":"Jurnal Pundi","id":"ITEM-1","issue":"3","issued":{"date-parts":[["2020"]]},"note":"From Duplicate 1 (Mekanisme Good Corporate Governance Dan Leverage Terhadap Kinerja Keuangan Perbankan - Meirina, Elsa; Abaharis, Henryanto)\n\nFrom Duplicate 1 (Mekanisme Good Corporate Governance Dan Leverage Terhadap Kinerja Keuangan Perbankan - Meirina, Elsa; Abaharis, Henryanto)\n\nCited By (since 2020): 9\n\nFrom Duplicate 2 (Mekanisme Good Corporate Governance Dan Leverage Terhadap Kinerja Keuangan Perbankan - Meirina, Elsa; Abaharis, Henryanto)\n\nCited By (since 2020): 6\n\nFrom Duplicate 3 (Mekanisme Good Corporate Governance Dan Leverage Terhadap Kinerja Keuangan Perbankan - Meirina, Elsa; Abaharis, Henryanto)\n\nFrom Duplicate 1 (Mekanisme Good Corporate Governance Dan Leverage Terhadap Kinerja Keuangan Perbankan - Meirina, Elsa; Abaharis, Henryanto)\n\nCited By (since 2020): 9\n\nFrom Duplicate 2 (Mekanisme Good Corporate Governance Dan Leverage Terhadap Kinerja Keuangan Perbankan - Meirina, Elsa; Abaharis, Henryanto)\n\nCited By (since 2020): 6\n\nFrom Duplicate 2 (Mekanisme Good Corporate Governance Dan Leverage Terhadap Kinerja Keuangan Perbankan - Meirina, Elsa; Abaharis, Henryanto)\n\nCited By (since 2020): 6","page":"215","publisher":"ojs.akbpstie.ac.id","title":"Mekanisme Good Corporate Governance Dan Leverage Terhadap Kinerja Keuangan Perbankan","type":"article-journal","volume":"3"},"uris":["http://www.mendeley.com/documents/?uuid=a3def81e-096b-4611-b369-012bf523d078"]}],"mendeley":{"formattedCitation":"(Meirina &amp; Abaharis, 2020)","plainTextFormattedCitation":"(Meirina &amp; Abaharis, 2020)","previouslyFormattedCitation":"(Meirina &amp; Abaharis, 2020)"},"properties":{"noteIndex":0},"schema":"https://github.com/citation-style-language/schema/raw/master/csl-citation.json"}</w:instrText>
            </w:r>
            <w:r w:rsidRPr="004E08B9">
              <w:rPr>
                <w:rFonts w:ascii="Cambria" w:eastAsia="Times New Roman" w:hAnsi="Cambria" w:cs="Times New Roman"/>
                <w:sz w:val="20"/>
                <w:szCs w:val="20"/>
                <w:lang w:eastAsia="en-GB"/>
              </w:rPr>
              <w:fldChar w:fldCharType="separate"/>
            </w:r>
            <w:r w:rsidRPr="004E08B9">
              <w:rPr>
                <w:rFonts w:ascii="Cambria" w:eastAsia="Times New Roman" w:hAnsi="Cambria" w:cs="Times New Roman"/>
                <w:noProof/>
                <w:sz w:val="20"/>
                <w:szCs w:val="20"/>
                <w:lang w:eastAsia="en-GB"/>
              </w:rPr>
              <w:t>(Meirina &amp; Abaharis, 2020)</w:t>
            </w:r>
            <w:r w:rsidRPr="004E08B9">
              <w:rPr>
                <w:rFonts w:ascii="Cambria" w:eastAsia="Times New Roman" w:hAnsi="Cambria" w:cs="Times New Roman"/>
                <w:sz w:val="20"/>
                <w:szCs w:val="20"/>
                <w:lang w:eastAsia="en-GB"/>
              </w:rPr>
              <w:fldChar w:fldCharType="end"/>
            </w:r>
          </w:p>
        </w:tc>
        <w:tc>
          <w:tcPr>
            <w:tcW w:w="2319" w:type="dxa"/>
          </w:tcPr>
          <w:p w14:paraId="3912A663"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 xml:space="preserve">Mekanisme </w:t>
            </w:r>
            <w:r w:rsidRPr="004E08B9">
              <w:rPr>
                <w:rFonts w:ascii="Cambria" w:hAnsi="Cambria" w:cs="Times New Roman"/>
                <w:i/>
                <w:iCs/>
                <w:sz w:val="20"/>
                <w:szCs w:val="20"/>
              </w:rPr>
              <w:t>Good Corporate Governance</w:t>
            </w:r>
            <w:r w:rsidRPr="004E08B9">
              <w:rPr>
                <w:rFonts w:ascii="Cambria" w:hAnsi="Cambria" w:cs="Times New Roman"/>
                <w:sz w:val="20"/>
                <w:szCs w:val="20"/>
              </w:rPr>
              <w:t xml:space="preserve"> Dan Leverage Terhadap Kinerja Keuangan Perbankan</w:t>
            </w:r>
          </w:p>
        </w:tc>
        <w:tc>
          <w:tcPr>
            <w:tcW w:w="1525" w:type="dxa"/>
          </w:tcPr>
          <w:p w14:paraId="1B85FFE8"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Kepemilikan manajerial dan dewan direksi</w:t>
            </w:r>
          </w:p>
        </w:tc>
        <w:tc>
          <w:tcPr>
            <w:tcW w:w="2095" w:type="dxa"/>
          </w:tcPr>
          <w:p w14:paraId="7EB715E2" w14:textId="77777777" w:rsidR="004E08B9" w:rsidRPr="004E08B9" w:rsidRDefault="004E08B9" w:rsidP="004E08B9">
            <w:pPr>
              <w:jc w:val="both"/>
              <w:rPr>
                <w:rFonts w:ascii="Cambria" w:hAnsi="Cambria" w:cs="Times New Roman"/>
                <w:sz w:val="20"/>
                <w:szCs w:val="20"/>
              </w:rPr>
            </w:pPr>
            <w:r w:rsidRPr="004E08B9">
              <w:rPr>
                <w:rFonts w:ascii="Cambria" w:hAnsi="Cambria" w:cs="Times New Roman"/>
                <w:sz w:val="20"/>
                <w:szCs w:val="20"/>
              </w:rPr>
              <w:t>ROA</w:t>
            </w:r>
          </w:p>
        </w:tc>
      </w:tr>
    </w:tbl>
    <w:p w14:paraId="68E3D169" w14:textId="610E45C1" w:rsidR="004E08B9" w:rsidRPr="004E08B9" w:rsidRDefault="004E08B9" w:rsidP="004E08B9">
      <w:pPr>
        <w:spacing w:line="276" w:lineRule="auto"/>
        <w:ind w:left="284" w:firstLine="436"/>
        <w:rPr>
          <w:rFonts w:ascii="Cambria" w:hAnsi="Cambria" w:cs="Times New Roman"/>
          <w:sz w:val="24"/>
          <w:szCs w:val="24"/>
        </w:rPr>
      </w:pPr>
      <w:r w:rsidRPr="004E08B9">
        <w:rPr>
          <w:rFonts w:ascii="Cambria" w:hAnsi="Cambria" w:cs="Times New Roman"/>
          <w:sz w:val="24"/>
          <w:szCs w:val="24"/>
        </w:rPr>
        <w:t>Sumber : Data diolah, 2024</w:t>
      </w:r>
    </w:p>
    <w:p w14:paraId="35E016FA" w14:textId="77777777" w:rsidR="004E08B9" w:rsidRPr="004E08B9" w:rsidRDefault="004E08B9" w:rsidP="004E08B9">
      <w:pPr>
        <w:spacing w:after="240" w:line="276" w:lineRule="auto"/>
        <w:ind w:left="284" w:firstLine="436"/>
        <w:jc w:val="both"/>
        <w:rPr>
          <w:rFonts w:ascii="Cambria" w:hAnsi="Cambria" w:cs="Times New Roman"/>
          <w:sz w:val="24"/>
          <w:szCs w:val="24"/>
        </w:rPr>
      </w:pPr>
      <w:r w:rsidRPr="004E08B9">
        <w:rPr>
          <w:rFonts w:ascii="Cambria" w:hAnsi="Cambria" w:cs="Times New Roman"/>
          <w:sz w:val="24"/>
          <w:szCs w:val="24"/>
        </w:rPr>
        <w:t xml:space="preserve">Dari 15 jurnal terpilih dapat digolongkan berdasarkan penggunaan rasio yang digunakan dalam proksi </w:t>
      </w:r>
      <w:r w:rsidRPr="004E08B9">
        <w:rPr>
          <w:rFonts w:ascii="Cambria" w:hAnsi="Cambria" w:cs="Times New Roman"/>
          <w:i/>
          <w:iCs/>
          <w:sz w:val="24"/>
          <w:szCs w:val="24"/>
        </w:rPr>
        <w:t xml:space="preserve">Good Corporate Governance </w:t>
      </w:r>
      <w:r w:rsidRPr="004E08B9">
        <w:rPr>
          <w:rFonts w:ascii="Cambria" w:hAnsi="Cambria" w:cs="Times New Roman"/>
          <w:sz w:val="24"/>
          <w:szCs w:val="24"/>
        </w:rPr>
        <w:t xml:space="preserve">yang diuraikan dalam tabel 4 berikut : </w:t>
      </w:r>
    </w:p>
    <w:p w14:paraId="66AC5F18" w14:textId="1E4349E5" w:rsidR="004E08B9" w:rsidRPr="004E08B9" w:rsidRDefault="004E08B9" w:rsidP="004E08B9">
      <w:pPr>
        <w:spacing w:after="240" w:line="276" w:lineRule="auto"/>
        <w:ind w:left="284" w:firstLine="436"/>
        <w:jc w:val="center"/>
        <w:rPr>
          <w:rFonts w:ascii="Cambria" w:hAnsi="Cambria" w:cs="Times New Roman"/>
          <w:b/>
          <w:bCs/>
          <w:sz w:val="24"/>
          <w:szCs w:val="24"/>
        </w:rPr>
      </w:pPr>
      <w:r w:rsidRPr="004E08B9">
        <w:rPr>
          <w:rFonts w:ascii="Cambria" w:hAnsi="Cambria" w:cs="Times New Roman"/>
          <w:b/>
          <w:bCs/>
          <w:sz w:val="24"/>
          <w:szCs w:val="24"/>
        </w:rPr>
        <w:t>Tabel 4.</w:t>
      </w:r>
    </w:p>
    <w:p w14:paraId="70DE460A" w14:textId="2CE19F63" w:rsidR="004E08B9" w:rsidRPr="004E08B9" w:rsidRDefault="004E08B9" w:rsidP="004E08B9">
      <w:pPr>
        <w:spacing w:after="240" w:line="276" w:lineRule="auto"/>
        <w:ind w:left="284" w:firstLine="436"/>
        <w:jc w:val="center"/>
        <w:rPr>
          <w:rFonts w:ascii="Cambria" w:hAnsi="Cambria" w:cs="Times New Roman"/>
          <w:b/>
          <w:bCs/>
          <w:sz w:val="24"/>
          <w:szCs w:val="24"/>
        </w:rPr>
      </w:pPr>
      <w:r w:rsidRPr="004E08B9">
        <w:rPr>
          <w:rFonts w:ascii="Cambria" w:hAnsi="Cambria" w:cs="Times New Roman"/>
          <w:b/>
          <w:bCs/>
          <w:sz w:val="24"/>
          <w:szCs w:val="24"/>
        </w:rPr>
        <w:t xml:space="preserve">Penggolongan proksi </w:t>
      </w:r>
      <w:r w:rsidRPr="004E08B9">
        <w:rPr>
          <w:rFonts w:ascii="Cambria" w:hAnsi="Cambria" w:cs="Times New Roman"/>
          <w:b/>
          <w:bCs/>
          <w:i/>
          <w:iCs/>
          <w:sz w:val="24"/>
          <w:szCs w:val="24"/>
        </w:rPr>
        <w:t>Good Corporate Governance</w:t>
      </w:r>
    </w:p>
    <w:tbl>
      <w:tblPr>
        <w:tblStyle w:val="TableGrid"/>
        <w:tblW w:w="0" w:type="auto"/>
        <w:tblInd w:w="284" w:type="dxa"/>
        <w:tblBorders>
          <w:left w:val="none" w:sz="0" w:space="0" w:color="auto"/>
          <w:bottom w:val="none" w:sz="0" w:space="0" w:color="auto"/>
          <w:right w:val="none" w:sz="0" w:space="0" w:color="auto"/>
        </w:tblBorders>
        <w:tblLook w:val="04A0" w:firstRow="1" w:lastRow="0" w:firstColumn="1" w:lastColumn="0" w:noHBand="0" w:noVBand="1"/>
      </w:tblPr>
      <w:tblGrid>
        <w:gridCol w:w="2642"/>
        <w:gridCol w:w="2642"/>
        <w:gridCol w:w="2643"/>
      </w:tblGrid>
      <w:tr w:rsidR="004E08B9" w:rsidRPr="004E08B9" w14:paraId="2D1E3021" w14:textId="77777777" w:rsidTr="00292E38">
        <w:tc>
          <w:tcPr>
            <w:tcW w:w="2642" w:type="dxa"/>
          </w:tcPr>
          <w:p w14:paraId="1A31E9F1" w14:textId="77777777" w:rsidR="004E08B9" w:rsidRPr="004E08B9" w:rsidRDefault="004E08B9" w:rsidP="00292E38">
            <w:pPr>
              <w:jc w:val="center"/>
              <w:rPr>
                <w:rFonts w:ascii="Cambria" w:hAnsi="Cambria" w:cs="Times New Roman"/>
                <w:b/>
                <w:bCs/>
                <w:sz w:val="24"/>
                <w:szCs w:val="24"/>
              </w:rPr>
            </w:pPr>
            <w:r w:rsidRPr="004E08B9">
              <w:rPr>
                <w:rFonts w:ascii="Cambria" w:hAnsi="Cambria" w:cs="Times New Roman"/>
                <w:b/>
                <w:bCs/>
                <w:sz w:val="24"/>
                <w:szCs w:val="24"/>
              </w:rPr>
              <w:t>Proksi</w:t>
            </w:r>
          </w:p>
        </w:tc>
        <w:tc>
          <w:tcPr>
            <w:tcW w:w="2642" w:type="dxa"/>
          </w:tcPr>
          <w:p w14:paraId="07E88338" w14:textId="77777777" w:rsidR="004E08B9" w:rsidRPr="004E08B9" w:rsidRDefault="004E08B9" w:rsidP="00292E38">
            <w:pPr>
              <w:jc w:val="center"/>
              <w:rPr>
                <w:rFonts w:ascii="Cambria" w:hAnsi="Cambria" w:cs="Times New Roman"/>
                <w:b/>
                <w:bCs/>
                <w:sz w:val="24"/>
                <w:szCs w:val="24"/>
              </w:rPr>
            </w:pPr>
            <w:r w:rsidRPr="004E08B9">
              <w:rPr>
                <w:rFonts w:ascii="Cambria" w:hAnsi="Cambria" w:cs="Times New Roman"/>
                <w:b/>
                <w:bCs/>
                <w:sz w:val="24"/>
                <w:szCs w:val="24"/>
              </w:rPr>
              <w:t>Kode Artikel</w:t>
            </w:r>
          </w:p>
        </w:tc>
        <w:tc>
          <w:tcPr>
            <w:tcW w:w="2643" w:type="dxa"/>
          </w:tcPr>
          <w:p w14:paraId="7DFEA573" w14:textId="77777777" w:rsidR="004E08B9" w:rsidRPr="004E08B9" w:rsidRDefault="004E08B9" w:rsidP="00292E38">
            <w:pPr>
              <w:jc w:val="center"/>
              <w:rPr>
                <w:rFonts w:ascii="Cambria" w:hAnsi="Cambria" w:cs="Times New Roman"/>
                <w:b/>
                <w:bCs/>
                <w:sz w:val="24"/>
                <w:szCs w:val="24"/>
              </w:rPr>
            </w:pPr>
            <w:r w:rsidRPr="004E08B9">
              <w:rPr>
                <w:rFonts w:ascii="Cambria" w:hAnsi="Cambria" w:cs="Times New Roman"/>
                <w:b/>
                <w:bCs/>
                <w:sz w:val="24"/>
                <w:szCs w:val="24"/>
              </w:rPr>
              <w:t>Jumlah</w:t>
            </w:r>
          </w:p>
        </w:tc>
      </w:tr>
      <w:tr w:rsidR="004E08B9" w:rsidRPr="004E08B9" w14:paraId="589FAA51" w14:textId="77777777" w:rsidTr="00292E38">
        <w:tc>
          <w:tcPr>
            <w:tcW w:w="2642" w:type="dxa"/>
          </w:tcPr>
          <w:p w14:paraId="7A29257F"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Kepemilikan Institusional</w:t>
            </w:r>
          </w:p>
        </w:tc>
        <w:tc>
          <w:tcPr>
            <w:tcW w:w="2642" w:type="dxa"/>
          </w:tcPr>
          <w:p w14:paraId="17906C3B"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(A1), (A3), (A4), (A5), (A6), (A7), (A8), (A9), (A12)</w:t>
            </w:r>
          </w:p>
        </w:tc>
        <w:tc>
          <w:tcPr>
            <w:tcW w:w="2643" w:type="dxa"/>
          </w:tcPr>
          <w:p w14:paraId="1A94C6E9"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9</w:t>
            </w:r>
          </w:p>
        </w:tc>
      </w:tr>
      <w:tr w:rsidR="004E08B9" w:rsidRPr="004E08B9" w14:paraId="1689452D" w14:textId="77777777" w:rsidTr="00292E38">
        <w:tc>
          <w:tcPr>
            <w:tcW w:w="2642" w:type="dxa"/>
          </w:tcPr>
          <w:p w14:paraId="0055BED2"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Kepemilikan Manajerial</w:t>
            </w:r>
          </w:p>
        </w:tc>
        <w:tc>
          <w:tcPr>
            <w:tcW w:w="2642" w:type="dxa"/>
          </w:tcPr>
          <w:p w14:paraId="74862626"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(A1), (A2), (A3), (A5), (A6), (A9), (A10), (A12), (A15)</w:t>
            </w:r>
          </w:p>
        </w:tc>
        <w:tc>
          <w:tcPr>
            <w:tcW w:w="2643" w:type="dxa"/>
          </w:tcPr>
          <w:p w14:paraId="597271EC"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9</w:t>
            </w:r>
          </w:p>
        </w:tc>
      </w:tr>
      <w:tr w:rsidR="004E08B9" w:rsidRPr="004E08B9" w14:paraId="19E32AAA" w14:textId="77777777" w:rsidTr="00292E38">
        <w:tc>
          <w:tcPr>
            <w:tcW w:w="2642" w:type="dxa"/>
          </w:tcPr>
          <w:p w14:paraId="2B2F8C0B"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Komisaris Independen</w:t>
            </w:r>
          </w:p>
        </w:tc>
        <w:tc>
          <w:tcPr>
            <w:tcW w:w="2642" w:type="dxa"/>
          </w:tcPr>
          <w:p w14:paraId="5A1C3A6A"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(A1), (A3), (A5), (A7), (A8), (A9), (A12), (A13)</w:t>
            </w:r>
          </w:p>
        </w:tc>
        <w:tc>
          <w:tcPr>
            <w:tcW w:w="2643" w:type="dxa"/>
          </w:tcPr>
          <w:p w14:paraId="07F9EC19"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7</w:t>
            </w:r>
          </w:p>
        </w:tc>
      </w:tr>
      <w:tr w:rsidR="004E08B9" w:rsidRPr="004E08B9" w14:paraId="533D1B41" w14:textId="77777777" w:rsidTr="00292E38">
        <w:tc>
          <w:tcPr>
            <w:tcW w:w="2642" w:type="dxa"/>
          </w:tcPr>
          <w:p w14:paraId="3AE87C59"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Komite Audit</w:t>
            </w:r>
          </w:p>
        </w:tc>
        <w:tc>
          <w:tcPr>
            <w:tcW w:w="2642" w:type="dxa"/>
          </w:tcPr>
          <w:p w14:paraId="03F72BD7"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(A1), (A3), (A4), (A5), (A6), (A8), (A9), (A11), (P13), (P14)</w:t>
            </w:r>
          </w:p>
        </w:tc>
        <w:tc>
          <w:tcPr>
            <w:tcW w:w="2643" w:type="dxa"/>
          </w:tcPr>
          <w:p w14:paraId="3C5991DA"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10</w:t>
            </w:r>
          </w:p>
        </w:tc>
      </w:tr>
      <w:tr w:rsidR="004E08B9" w:rsidRPr="004E08B9" w14:paraId="730C06DE" w14:textId="77777777" w:rsidTr="00292E38">
        <w:tc>
          <w:tcPr>
            <w:tcW w:w="2642" w:type="dxa"/>
          </w:tcPr>
          <w:p w14:paraId="6A4B7C41"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Dewan Direksi</w:t>
            </w:r>
          </w:p>
        </w:tc>
        <w:tc>
          <w:tcPr>
            <w:tcW w:w="2642" w:type="dxa"/>
          </w:tcPr>
          <w:p w14:paraId="6CEABC2D"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(A2), (A3), (A4), (A7), (A9), (A15)</w:t>
            </w:r>
          </w:p>
        </w:tc>
        <w:tc>
          <w:tcPr>
            <w:tcW w:w="2643" w:type="dxa"/>
          </w:tcPr>
          <w:p w14:paraId="04420024" w14:textId="77777777" w:rsidR="004E08B9" w:rsidRPr="004E08B9" w:rsidRDefault="004E08B9" w:rsidP="00292E38">
            <w:pPr>
              <w:jc w:val="center"/>
              <w:rPr>
                <w:rFonts w:ascii="Cambria" w:hAnsi="Cambria" w:cs="Times New Roman"/>
                <w:sz w:val="24"/>
                <w:szCs w:val="24"/>
              </w:rPr>
            </w:pPr>
            <w:r w:rsidRPr="004E08B9">
              <w:rPr>
                <w:rFonts w:ascii="Cambria" w:hAnsi="Cambria" w:cs="Times New Roman"/>
                <w:sz w:val="24"/>
                <w:szCs w:val="24"/>
              </w:rPr>
              <w:t>6</w:t>
            </w:r>
          </w:p>
        </w:tc>
      </w:tr>
    </w:tbl>
    <w:p w14:paraId="2F706FC8" w14:textId="77777777" w:rsidR="004E08B9" w:rsidRPr="004E08B9" w:rsidRDefault="004E08B9" w:rsidP="004E08B9">
      <w:pPr>
        <w:spacing w:after="240" w:line="276" w:lineRule="auto"/>
        <w:ind w:left="284" w:firstLine="436"/>
        <w:jc w:val="both"/>
        <w:rPr>
          <w:rFonts w:ascii="Cambria" w:hAnsi="Cambria" w:cs="Times New Roman"/>
          <w:sz w:val="24"/>
          <w:szCs w:val="24"/>
        </w:rPr>
      </w:pPr>
      <w:r w:rsidRPr="004E08B9">
        <w:rPr>
          <w:rFonts w:ascii="Cambria" w:hAnsi="Cambria" w:cs="Times New Roman"/>
          <w:sz w:val="24"/>
          <w:szCs w:val="24"/>
        </w:rPr>
        <w:t>Sumber : Data diolah, 2024</w:t>
      </w:r>
    </w:p>
    <w:p w14:paraId="077D0C53" w14:textId="77777777" w:rsidR="004E08B9" w:rsidRPr="004E08B9" w:rsidRDefault="004E08B9" w:rsidP="004E08B9">
      <w:pPr>
        <w:spacing w:after="240" w:line="276" w:lineRule="auto"/>
        <w:ind w:left="284" w:firstLine="436"/>
        <w:jc w:val="both"/>
        <w:rPr>
          <w:rFonts w:ascii="Cambria" w:hAnsi="Cambria" w:cs="Times New Roman"/>
          <w:sz w:val="24"/>
          <w:szCs w:val="24"/>
        </w:rPr>
      </w:pPr>
      <w:r w:rsidRPr="004E08B9">
        <w:rPr>
          <w:rFonts w:ascii="Cambria" w:hAnsi="Cambria" w:cs="Times New Roman"/>
          <w:sz w:val="24"/>
          <w:szCs w:val="24"/>
        </w:rPr>
        <w:t>Sedangkan untuk penggolongan yang digunakan untuk penggunaan rasio yang digunakan untuk proksi kinerja keuangan yaitu diuraikan pada tabel 5 berikut :</w:t>
      </w:r>
    </w:p>
    <w:p w14:paraId="3C017EBA" w14:textId="77777777" w:rsidR="004E08B9" w:rsidRPr="004E08B9" w:rsidRDefault="004E08B9" w:rsidP="004E08B9">
      <w:pPr>
        <w:spacing w:after="240" w:line="276" w:lineRule="auto"/>
        <w:ind w:left="284" w:firstLine="436"/>
        <w:jc w:val="both"/>
        <w:rPr>
          <w:rFonts w:ascii="Cambria" w:hAnsi="Cambria" w:cs="Times New Roman"/>
          <w:sz w:val="24"/>
          <w:szCs w:val="24"/>
        </w:rPr>
      </w:pPr>
    </w:p>
    <w:p w14:paraId="3B568A6C" w14:textId="77777777" w:rsidR="004E08B9" w:rsidRPr="004E08B9" w:rsidRDefault="004E08B9" w:rsidP="004E08B9">
      <w:pPr>
        <w:spacing w:after="240" w:line="276" w:lineRule="auto"/>
        <w:ind w:left="284" w:firstLine="436"/>
        <w:jc w:val="both"/>
        <w:rPr>
          <w:rFonts w:ascii="Cambria" w:hAnsi="Cambria" w:cs="Times New Roman"/>
          <w:sz w:val="24"/>
          <w:szCs w:val="24"/>
        </w:rPr>
      </w:pPr>
    </w:p>
    <w:p w14:paraId="3641B881" w14:textId="77777777" w:rsidR="004E08B9" w:rsidRPr="004E08B9" w:rsidRDefault="004E08B9" w:rsidP="004E08B9">
      <w:pPr>
        <w:spacing w:after="240" w:line="276" w:lineRule="auto"/>
        <w:ind w:left="284" w:firstLine="436"/>
        <w:jc w:val="both"/>
        <w:rPr>
          <w:rFonts w:ascii="Cambria" w:hAnsi="Cambria" w:cs="Times New Roman"/>
          <w:sz w:val="24"/>
          <w:szCs w:val="24"/>
        </w:rPr>
      </w:pPr>
    </w:p>
    <w:p w14:paraId="26B936DB" w14:textId="2A7A2D27" w:rsidR="004E08B9" w:rsidRPr="004E08B9" w:rsidRDefault="004E08B9" w:rsidP="004E08B9">
      <w:pPr>
        <w:spacing w:line="276" w:lineRule="auto"/>
        <w:ind w:left="1004" w:firstLine="436"/>
        <w:jc w:val="center"/>
        <w:rPr>
          <w:rFonts w:ascii="Cambria" w:hAnsi="Cambria" w:cs="Times New Roman"/>
          <w:sz w:val="24"/>
          <w:szCs w:val="24"/>
        </w:rPr>
      </w:pPr>
      <w:r w:rsidRPr="004E08B9">
        <w:rPr>
          <w:rFonts w:ascii="Cambria" w:hAnsi="Cambria" w:cs="Times New Roman"/>
          <w:sz w:val="24"/>
          <w:szCs w:val="24"/>
        </w:rPr>
        <w:t>Tabel 5.</w:t>
      </w:r>
    </w:p>
    <w:p w14:paraId="634E7643" w14:textId="34DD3EA6" w:rsidR="004E08B9" w:rsidRPr="004E08B9" w:rsidRDefault="004E08B9" w:rsidP="004E08B9">
      <w:pPr>
        <w:spacing w:line="276" w:lineRule="auto"/>
        <w:ind w:left="1004" w:firstLine="436"/>
        <w:jc w:val="center"/>
        <w:rPr>
          <w:rFonts w:ascii="Cambria" w:hAnsi="Cambria" w:cs="Times New Roman"/>
          <w:sz w:val="24"/>
          <w:szCs w:val="24"/>
        </w:rPr>
      </w:pPr>
      <w:r w:rsidRPr="004E08B9">
        <w:rPr>
          <w:rFonts w:ascii="Cambria" w:hAnsi="Cambria" w:cs="Times New Roman"/>
          <w:sz w:val="24"/>
          <w:szCs w:val="24"/>
        </w:rPr>
        <w:t>Penggolongan proksi kinerja keuangan</w:t>
      </w: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2642"/>
        <w:gridCol w:w="2642"/>
        <w:gridCol w:w="2643"/>
      </w:tblGrid>
      <w:tr w:rsidR="004E08B9" w:rsidRPr="004E08B9" w14:paraId="68DB1F03" w14:textId="77777777" w:rsidTr="00292E38">
        <w:tc>
          <w:tcPr>
            <w:tcW w:w="2642" w:type="dxa"/>
          </w:tcPr>
          <w:p w14:paraId="541BC553" w14:textId="77777777" w:rsidR="004E08B9" w:rsidRPr="004E08B9" w:rsidRDefault="004E08B9" w:rsidP="00292E38">
            <w:pPr>
              <w:spacing w:line="276" w:lineRule="auto"/>
              <w:jc w:val="center"/>
              <w:rPr>
                <w:rFonts w:ascii="Cambria" w:hAnsi="Cambria" w:cs="Times New Roman"/>
                <w:b/>
                <w:bCs/>
                <w:sz w:val="24"/>
                <w:szCs w:val="24"/>
              </w:rPr>
            </w:pPr>
            <w:r w:rsidRPr="004E08B9">
              <w:rPr>
                <w:rFonts w:ascii="Cambria" w:hAnsi="Cambria" w:cs="Times New Roman"/>
                <w:b/>
                <w:bCs/>
                <w:sz w:val="24"/>
                <w:szCs w:val="24"/>
              </w:rPr>
              <w:t>Proksi</w:t>
            </w:r>
          </w:p>
        </w:tc>
        <w:tc>
          <w:tcPr>
            <w:tcW w:w="2642" w:type="dxa"/>
          </w:tcPr>
          <w:p w14:paraId="486DEAF3" w14:textId="77777777" w:rsidR="004E08B9" w:rsidRPr="004E08B9" w:rsidRDefault="004E08B9" w:rsidP="00292E38">
            <w:pPr>
              <w:spacing w:line="276" w:lineRule="auto"/>
              <w:jc w:val="center"/>
              <w:rPr>
                <w:rFonts w:ascii="Cambria" w:hAnsi="Cambria" w:cs="Times New Roman"/>
                <w:sz w:val="24"/>
                <w:szCs w:val="24"/>
              </w:rPr>
            </w:pPr>
            <w:r w:rsidRPr="004E08B9">
              <w:rPr>
                <w:rFonts w:ascii="Cambria" w:hAnsi="Cambria" w:cs="Times New Roman"/>
                <w:b/>
                <w:bCs/>
                <w:sz w:val="24"/>
                <w:szCs w:val="24"/>
              </w:rPr>
              <w:t>Kode Artikel</w:t>
            </w:r>
          </w:p>
        </w:tc>
        <w:tc>
          <w:tcPr>
            <w:tcW w:w="2643" w:type="dxa"/>
          </w:tcPr>
          <w:p w14:paraId="3BDB5866" w14:textId="77777777" w:rsidR="004E08B9" w:rsidRPr="004E08B9" w:rsidRDefault="004E08B9" w:rsidP="00292E38">
            <w:pPr>
              <w:spacing w:line="276" w:lineRule="auto"/>
              <w:jc w:val="center"/>
              <w:rPr>
                <w:rFonts w:ascii="Cambria" w:hAnsi="Cambria" w:cs="Times New Roman"/>
                <w:sz w:val="24"/>
                <w:szCs w:val="24"/>
              </w:rPr>
            </w:pPr>
            <w:r w:rsidRPr="004E08B9">
              <w:rPr>
                <w:rFonts w:ascii="Cambria" w:hAnsi="Cambria" w:cs="Times New Roman"/>
                <w:b/>
                <w:bCs/>
                <w:sz w:val="24"/>
                <w:szCs w:val="24"/>
              </w:rPr>
              <w:t>Jumlah</w:t>
            </w:r>
          </w:p>
        </w:tc>
      </w:tr>
      <w:tr w:rsidR="004E08B9" w:rsidRPr="004E08B9" w14:paraId="16B5ABF4" w14:textId="77777777" w:rsidTr="00292E38">
        <w:tc>
          <w:tcPr>
            <w:tcW w:w="2642" w:type="dxa"/>
          </w:tcPr>
          <w:p w14:paraId="3941ADC0" w14:textId="77777777" w:rsidR="004E08B9" w:rsidRPr="004E08B9" w:rsidRDefault="004E08B9" w:rsidP="00292E38">
            <w:pPr>
              <w:spacing w:line="276" w:lineRule="auto"/>
              <w:jc w:val="center"/>
              <w:rPr>
                <w:rFonts w:ascii="Cambria" w:hAnsi="Cambria" w:cs="Times New Roman"/>
                <w:sz w:val="24"/>
                <w:szCs w:val="24"/>
              </w:rPr>
            </w:pPr>
            <w:r w:rsidRPr="004E08B9">
              <w:rPr>
                <w:rFonts w:ascii="Cambria" w:hAnsi="Cambria" w:cs="Times New Roman"/>
                <w:sz w:val="24"/>
                <w:szCs w:val="24"/>
              </w:rPr>
              <w:t>ROA</w:t>
            </w:r>
          </w:p>
        </w:tc>
        <w:tc>
          <w:tcPr>
            <w:tcW w:w="2642" w:type="dxa"/>
          </w:tcPr>
          <w:p w14:paraId="27B37BAA" w14:textId="77777777" w:rsidR="004E08B9" w:rsidRPr="004E08B9" w:rsidRDefault="004E08B9" w:rsidP="00292E38">
            <w:pPr>
              <w:spacing w:line="276" w:lineRule="auto"/>
              <w:jc w:val="center"/>
              <w:rPr>
                <w:rFonts w:ascii="Cambria" w:hAnsi="Cambria" w:cs="Times New Roman"/>
                <w:sz w:val="24"/>
                <w:szCs w:val="24"/>
              </w:rPr>
            </w:pPr>
            <w:r w:rsidRPr="004E08B9">
              <w:rPr>
                <w:rFonts w:ascii="Cambria" w:hAnsi="Cambria" w:cs="Times New Roman"/>
                <w:sz w:val="24"/>
                <w:szCs w:val="24"/>
              </w:rPr>
              <w:t>(A1), (A2), (A3), (A4), (A5), (A6), (A8), (A9), (A10), (A11), (A12), (A13), (A14), (A15)</w:t>
            </w:r>
          </w:p>
        </w:tc>
        <w:tc>
          <w:tcPr>
            <w:tcW w:w="2643" w:type="dxa"/>
          </w:tcPr>
          <w:p w14:paraId="2B9BE53A" w14:textId="77777777" w:rsidR="004E08B9" w:rsidRPr="004E08B9" w:rsidRDefault="004E08B9" w:rsidP="00292E38">
            <w:pPr>
              <w:spacing w:line="276" w:lineRule="auto"/>
              <w:jc w:val="center"/>
              <w:rPr>
                <w:rFonts w:ascii="Cambria" w:hAnsi="Cambria" w:cs="Times New Roman"/>
                <w:sz w:val="24"/>
                <w:szCs w:val="24"/>
              </w:rPr>
            </w:pPr>
            <w:r w:rsidRPr="004E08B9">
              <w:rPr>
                <w:rFonts w:ascii="Cambria" w:hAnsi="Cambria" w:cs="Times New Roman"/>
                <w:sz w:val="24"/>
                <w:szCs w:val="24"/>
              </w:rPr>
              <w:t>14</w:t>
            </w:r>
          </w:p>
        </w:tc>
      </w:tr>
      <w:tr w:rsidR="004E08B9" w:rsidRPr="004E08B9" w14:paraId="0F1A4554" w14:textId="77777777" w:rsidTr="00292E38">
        <w:tc>
          <w:tcPr>
            <w:tcW w:w="2642" w:type="dxa"/>
          </w:tcPr>
          <w:p w14:paraId="529266DD" w14:textId="77777777" w:rsidR="004E08B9" w:rsidRPr="004E08B9" w:rsidRDefault="004E08B9" w:rsidP="00292E38">
            <w:pPr>
              <w:spacing w:after="240" w:line="276" w:lineRule="auto"/>
              <w:jc w:val="center"/>
              <w:rPr>
                <w:rFonts w:ascii="Cambria" w:hAnsi="Cambria" w:cs="Times New Roman"/>
                <w:sz w:val="24"/>
                <w:szCs w:val="24"/>
              </w:rPr>
            </w:pPr>
            <w:r w:rsidRPr="004E08B9">
              <w:rPr>
                <w:rFonts w:ascii="Cambria" w:hAnsi="Cambria" w:cs="Times New Roman"/>
                <w:sz w:val="24"/>
                <w:szCs w:val="24"/>
              </w:rPr>
              <w:t>ROE</w:t>
            </w:r>
          </w:p>
        </w:tc>
        <w:tc>
          <w:tcPr>
            <w:tcW w:w="2642" w:type="dxa"/>
          </w:tcPr>
          <w:p w14:paraId="5581011A" w14:textId="77777777" w:rsidR="004E08B9" w:rsidRPr="004E08B9" w:rsidRDefault="004E08B9" w:rsidP="00292E38">
            <w:pPr>
              <w:spacing w:after="240" w:line="276" w:lineRule="auto"/>
              <w:jc w:val="center"/>
              <w:rPr>
                <w:rFonts w:ascii="Cambria" w:hAnsi="Cambria" w:cs="Times New Roman"/>
                <w:sz w:val="24"/>
                <w:szCs w:val="24"/>
              </w:rPr>
            </w:pPr>
            <w:r w:rsidRPr="004E08B9">
              <w:rPr>
                <w:rFonts w:ascii="Cambria" w:hAnsi="Cambria" w:cs="Times New Roman"/>
                <w:sz w:val="24"/>
                <w:szCs w:val="24"/>
              </w:rPr>
              <w:t>(A4), (A7), (A12)</w:t>
            </w:r>
          </w:p>
        </w:tc>
        <w:tc>
          <w:tcPr>
            <w:tcW w:w="2643" w:type="dxa"/>
          </w:tcPr>
          <w:p w14:paraId="511433F6" w14:textId="77777777" w:rsidR="004E08B9" w:rsidRPr="004E08B9" w:rsidRDefault="004E08B9" w:rsidP="00292E38">
            <w:pPr>
              <w:spacing w:after="240" w:line="276" w:lineRule="auto"/>
              <w:jc w:val="center"/>
              <w:rPr>
                <w:rFonts w:ascii="Cambria" w:hAnsi="Cambria" w:cs="Times New Roman"/>
                <w:sz w:val="24"/>
                <w:szCs w:val="24"/>
              </w:rPr>
            </w:pPr>
            <w:r w:rsidRPr="004E08B9">
              <w:rPr>
                <w:rFonts w:ascii="Cambria" w:hAnsi="Cambria" w:cs="Times New Roman"/>
                <w:sz w:val="24"/>
                <w:szCs w:val="24"/>
              </w:rPr>
              <w:t>3</w:t>
            </w:r>
          </w:p>
        </w:tc>
      </w:tr>
    </w:tbl>
    <w:p w14:paraId="7DE25CA3" w14:textId="77777777" w:rsidR="004E08B9" w:rsidRPr="004E08B9" w:rsidRDefault="004E08B9" w:rsidP="004E08B9">
      <w:pPr>
        <w:spacing w:after="240" w:line="276" w:lineRule="auto"/>
        <w:jc w:val="both"/>
        <w:rPr>
          <w:rFonts w:ascii="Cambria" w:hAnsi="Cambria" w:cs="Times New Roman"/>
          <w:sz w:val="24"/>
          <w:szCs w:val="24"/>
        </w:rPr>
      </w:pPr>
      <w:r w:rsidRPr="004E08B9">
        <w:rPr>
          <w:rFonts w:ascii="Cambria" w:hAnsi="Cambria" w:cs="Times New Roman"/>
          <w:sz w:val="24"/>
          <w:szCs w:val="24"/>
        </w:rPr>
        <w:t>Sumber : Data diolah, 2024</w:t>
      </w:r>
    </w:p>
    <w:p w14:paraId="7008D119" w14:textId="77777777" w:rsidR="004E08B9" w:rsidRPr="004E08B9" w:rsidRDefault="004E08B9" w:rsidP="004E08B9">
      <w:pPr>
        <w:spacing w:after="240" w:line="276" w:lineRule="auto"/>
        <w:ind w:firstLine="720"/>
        <w:jc w:val="both"/>
        <w:rPr>
          <w:rFonts w:ascii="Cambria" w:hAnsi="Cambria" w:cs="Times New Roman"/>
          <w:sz w:val="24"/>
          <w:szCs w:val="24"/>
        </w:rPr>
      </w:pPr>
      <w:r w:rsidRPr="004E08B9">
        <w:rPr>
          <w:rFonts w:ascii="Cambria" w:hAnsi="Cambria" w:cs="Times New Roman"/>
          <w:sz w:val="24"/>
          <w:szCs w:val="24"/>
        </w:rPr>
        <w:t xml:space="preserve">Tabel 3 dan 4 telah menjawab pertanyaan RQ 1 terkait proksi yang digunakan dalam mengukur </w:t>
      </w:r>
      <w:r w:rsidRPr="004E08B9">
        <w:rPr>
          <w:rFonts w:ascii="Cambria" w:hAnsi="Cambria" w:cs="Times New Roman"/>
          <w:i/>
          <w:iCs/>
          <w:sz w:val="24"/>
          <w:szCs w:val="24"/>
        </w:rPr>
        <w:t>Good Corporate Governance</w:t>
      </w:r>
      <w:r w:rsidRPr="004E08B9">
        <w:rPr>
          <w:rFonts w:ascii="Cambria" w:hAnsi="Cambria" w:cs="Times New Roman"/>
          <w:sz w:val="24"/>
          <w:szCs w:val="24"/>
        </w:rPr>
        <w:t xml:space="preserve"> yaitu kepemilikan institusional, kepemilikan manajerial, komisaris independent, komite audit dan dewan direksi seperto yang digunakan dalam penelitian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{"citationItems":[{"id":"ITEM-1","itemData":{"abstract":"Tujuan penelitian ini adalah untuk mengetahui hubungangood corporate governancedengan kinerja keuangan padaPerbankan di BEI. Jenis penelitian ini adalah kuantitatif. Datayang digunakan merupakan data sekunder. Populasi dalampenelitian ini yaitu laporan keuangan tahunan Perbankan diBEI.  Adapun metode analisis yang digunakan adalah ujideskriptif,  uji  normalitas,  uji  heteroskedastisitas,  ujimultikolinearitas, uji autokorelasi, dan uji linieritas, serta ujiregresi berganda. Hasilnya bahwa komisaris independen,kepemilikan institusional, kepemilikan manajerial, komiteaudit, dan dewan direksi, dapat meningkatkan kinerjakeuangan.","author":[{"dropping-particle":"","family":"Nurhidayah","given":"Vivie","non-dropping-particle":"","parse-names":false,"suffix":""}],"container-title":"Jurnal Riset Mahasiswa Akuntansi","id":"ITEM-1","issue":"02","issued":{"date-parts":[["2020"]]},"page":"132-142","title":"Pengaruhgood Corporate Governanceterhadap Kinerjakeuangan Pada Perbankan Di Bei","type":"article-journal","volume":"01"},"uris":["http://www.mendeley.com/documents/?uuid=dbc9bce1-fa41-43c1-b465-c753e2d63092"]}],"mendeley":{"formattedCitation":"(Nurhidayah, 2020)","plainTextFormattedCitation":"(Nurhidayah, 2020)","previouslyFormattedCitation":"(Nurhidayah, 2020)"},"properties":{"noteIndex":0},"schema":"https://github.com/citation-style-language/schema/raw/master/csl-citation.json"}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(Nurhidayah, 2020)</w:t>
      </w:r>
      <w:r w:rsidRPr="004E08B9">
        <w:rPr>
          <w:rFonts w:ascii="Cambria" w:hAnsi="Cambria" w:cs="Times New Roman"/>
          <w:sz w:val="24"/>
          <w:szCs w:val="24"/>
        </w:rPr>
        <w:fldChar w:fldCharType="end"/>
      </w:r>
      <w:r w:rsidRPr="004E08B9">
        <w:rPr>
          <w:rFonts w:ascii="Cambria" w:hAnsi="Cambria" w:cs="Times New Roman"/>
          <w:sz w:val="24"/>
          <w:szCs w:val="24"/>
        </w:rPr>
        <w:t xml:space="preserve"> dan juga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{"citationItems":[{"id":"ITEM-1","itemData":{"ISSN":"2686-5610","abstract":"This study aims to examine the effect of good corporate gover-nance on financial performance. The independent variable in this study is good corporate governance which is proxied as board of directors, board of independent commissioners, audit committees, managerial ownerships, and institutional ownerships, while the dependent variable of this study is financial performance which proxied as return on assets (ROA). The sample used in this study were 24 state-owned companies listed on IDX for the 2015-2019 period. The sampling method used is non-probability sampling. This study uses secondary data in the form of annual reports for the 2015-2019 period which obtained from the company's official website. The data collected were then analyzed by multiple linear regressions using SPSS 25. The results of this study show that board of independent commissioners have negative effects on ROA. This means that the greater the number of board independent commissioners, the lower the ROA will be. The results also show that other independent variables, namely board of directors, audit committees, managerial ownerships, and institutional ownerships have no effect on ROA.","author":[{"dropping-particle":"","family":"Megawati","given":"Happy","non-dropping-particle":"","parse-names":false,"suffix":""}],"container-title":"Media Akuntansi dan Perpajakan Indonesia","id":"ITEM-1","issue":"2","issued":{"date-parts":[["2021"]]},"note":"Cited By (since 2021): 8","page":"139-160","publisher":"journal.uc.ac.id","title":"Good Corporate Governance dan Kinerja Keuangan (Studi Empiris pada BUMN di Indonesia)","type":"article","volume":"2"},"uris":["http://www.mendeley.com/documents/?uuid=e21fa848-8760-4617-9daf-f56573a4b85b"]}],"mendeley":{"formattedCitation":"(Megawati, 2021)","plainTextFormattedCitation":"(Megawati, 2021)","previouslyFormattedCitation":"(Megawati, 2021)"},"properties":{"noteIndex":0},"schema":"https://github.com/citation-style-language/schema/raw/master/csl-citation.json"}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(Megawati, 2021)</w:t>
      </w:r>
      <w:r w:rsidRPr="004E08B9">
        <w:rPr>
          <w:rFonts w:ascii="Cambria" w:hAnsi="Cambria" w:cs="Times New Roman"/>
          <w:sz w:val="24"/>
          <w:szCs w:val="24"/>
        </w:rPr>
        <w:fldChar w:fldCharType="end"/>
      </w:r>
      <w:r w:rsidRPr="004E08B9">
        <w:rPr>
          <w:rFonts w:ascii="Cambria" w:hAnsi="Cambria" w:cs="Times New Roman"/>
          <w:sz w:val="24"/>
          <w:szCs w:val="24"/>
        </w:rPr>
        <w:t xml:space="preserve">. Proksi yang banyak digunakan menurut hasil systematic literatur review ini yaitu proksi Komite Audit, kepemilikan institusional dan kepemilikan manajerial. Sedangkan untuk menjawab pertanyaan RQ 2 yaitu dapat melihat tabel 3 dan 5 yaitu kinerja keuangan menggunakan proksi ROA dan ROE seperti yang dilakukan dalam penelitian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{"citationItems":[{"id":"ITEM-1","itemData":{"DOI":"10.53088/jadfi.v1i3.208","abstract":"Good Corporate Governance is the foundation that can make business conditions healthier to grow competence in the business sector and eliminate bribery and corruption cases. The objective-based of this research is to determine the effect of Good Corporate Governance (GCG) on the financial performance of banking companies. The population of this study was 12 companies for four periods, a sample of 44 observational data and data obtained from the IDX official website. The analytical method used is panel data regression. The results of this study indicate that institutional ownership, the board of directors, and the audit board have no significant effect on ROA. Meanwhile, institutional ownership has a significant effect on ROE. The board of directors and the audit committee do not significantly affect ROE. The application of Good Corporate Governance (GCG) in companies to generate profits using ROA and ROE profitability measures does not always affect the company's capacity to generate profits.","author":[{"dropping-particle":"","family":"Maridkha","given":"Antin","non-dropping-particle":"","parse-names":false,"suffix":""},{"dropping-particle":"","family":"Himmati","given":"Risdiana","non-dropping-particle":"","parse-names":false,"suffix":""}],"container-title":"Journal of Accounting and Digital Finance","id":"ITEM-1","issue":"3","issued":{"date-parts":[["2021"]]},"note":"From Duplicate 1 (Pengaruh good corporate governance terhadap kinerja keuangan perusahaan perbankan periode 2017-2020 - Maridkha, Antin; Himmati, Risdiana)\n\nFrom Duplicate 1 (Pengaruh good corporate governance terhadap kinerja keuangan perusahaan perbankan periode 2017-2020 - Maridkha, Antin; Himmati, Risdiana)\n\nCited By (since 2021): 20\n\nFrom Duplicate 2 (Pengaruh good corporate governance terhadap kinerja keuangan perusahaan perbankan periode 2017-2020 - Maridkha, Antin; Himmati, Risdiana)\n\nCited By (since 2023): 1\n\nFrom Duplicate 3 (Pengaruh good corporate governance terhadap kinerja keuangan perusahaan perbankan periode 2017-2020 - Maridkha, Antin; Himmati, Risdiana)\n\nFrom Duplicate 1 (Pengaruh good corporate governance terhadap kinerja keuangan perusahaan perbankan periode 2017-2020 - Maridkha, Antin; Himmati, Risdiana)\n\nCited By (since 2022): 4\n\nFrom Duplicate 2 (Pengaruh good corporate governance terhadap kinerja keuangan perusahaan perbankan periode 2017-2020 - Maridkha, Antin; Himmati, Risdiana)\n\nCited By (since 2023): 1\n\nFrom Duplicate 3 (Pengaruh good corporate governance terhadap kinerja keuangan perusahaan perbankan periode 2017-2020 - Maridkha, Antin; Himmati, Risdiana)\n\nCited By (since 2021): 20\n\nFrom Duplicate 4 (Pengaruh good corporate governance terhadap kinerja keuangan perusahaan perbankan periode 2017-2020 - Maridkha, Antin; Himmati, Risdiana)\n\nCited By (since 2022): 12\n\nFrom Duplicate 5 (Pengaruh good corporate governance terhadap kinerja keuangan perusahaan perbankan periode 2017-2020 - Maridkha, Antin; Himmati, Risdiana)\n\nCited By (since 2021): 8\n\nFrom Duplicate 4 (Pengaruh good corporate governance terhadap kinerja keuangan perusahaan perbankan periode 2017-2020 - Maridkha, Antin; Himmati, Risdiana)\n\nCited By (since 2021): 8\n\nFrom Duplicate 5 (Pengaruh good corporate governance terhadap kinerja keuangan perusahaan perbankan periode 2017-2020 - Maridkha, Antin; Himmati, Risdiana)\n\nCited By (since 2022): 12\n\nFrom Duplicate 6 (Pengaruh good corporate governance terhadap kinerja keuangan perusahaan perbankan periode 2017-2020 - Maridkha, Antin; Himmati, Risdiana)\n\nCited By (since 2022): 4\n\nFrom Duplicate 2 (Pengaruh good corporate governance terhadap kinerja keuangan perusahaan perbankan periode 2017-2020 - Maridkha, Antin; Himmati, Risdiana)\n\nCited By (since 2021): 8\n\nFrom Duplicate 3 (Pengaruh good corporate governance terhadap kinerja keuangan perusahaan perbankan periode 2017-2020 - Maridkha, Antin; Himmati, Risdiana)\n\nCited By (since 2021): 20","page":"195-205","publisher":"journal.nurscienceinstitute.id","title":"Pengaruh good corporate governance terhadap kinerja keuangan perusahaan perbankan periode 2017-2020","type":"article-journal","volume":"1"},"uris":["http://www.mendeley.com/documents/?uuid=c54fcce0-03e3-47ec-b7ec-7ab2ee760acb"]}],"mendeley":{"formattedCitation":"(Maridkha &amp; Himmati, 2021)","plainTextFormattedCitation":"(Maridkha &amp; Himmati, 2021)","previouslyFormattedCitation":"(Maridkha &amp; Himmati, 2021)"},"properties":{"noteIndex":0},"schema":"https://github.com/citation-style-language/schema/raw/master/csl-citation.json"}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(Maridkha &amp; Himmati, 2021)</w:t>
      </w:r>
      <w:r w:rsidRPr="004E08B9">
        <w:rPr>
          <w:rFonts w:ascii="Cambria" w:hAnsi="Cambria" w:cs="Times New Roman"/>
          <w:sz w:val="24"/>
          <w:szCs w:val="24"/>
        </w:rPr>
        <w:fldChar w:fldCharType="end"/>
      </w:r>
      <w:r w:rsidRPr="004E08B9">
        <w:rPr>
          <w:rFonts w:ascii="Cambria" w:hAnsi="Cambria" w:cs="Times New Roman"/>
          <w:sz w:val="24"/>
          <w:szCs w:val="24"/>
        </w:rPr>
        <w:t xml:space="preserve"> dan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{"citationItems":[{"id":"ITEM-1","itemData":{"DOI":"10.32502/jimn.v9i1.2115","ISSN":"2089-8177","abstract":"This study aims to determine how the development of Return On Assets (ROA) and Return On Equity (ROE) to assess financial performance at PT. Surya Eka Lestari Ogan Komering Ulu. The results of this study indicate that financial performance at PT. Surya Eka Lestari is good enough because it has reached the ratio standard. The good or bad management of a company can be reflected in the financial performance of a company. Development of Return On Assets (ROA) at PT. Surya Eka Lestari Ogan Komering Ulu from 2013 to 2017 produced an average of 30.87% and had met the standards set above the 1.5% ratio, the ratio achieved was categorized in a healthy group. The higher the return on assets produced, the higher the net profit generated from each fund that is embedded in the total assets. While the development of Return On Equity (ROE) at PT. Surya Eka Lestari Ogan Komering Ulu from 2013 to 2017 produced an average of 43.50% and had met the industry average of 40%, the ratio achieved showed the company's condition was quite good. The higher the yield, the better because the dividends distributed or reinvested as retained earnings are also greater.","author":[{"dropping-particle":"","family":"Wijaya","given":"Rendi","non-dropping-particle":"","parse-names":false,"suffix":""}],"container-title":"Jurnal Ilmu Manajemen","id":"ITEM-1","issue":"1","issued":{"date-parts":[["2019"]]},"page":"40","title":"Analisis Perkembangan Return On Assets (ROA) dan Return On Equity (ROE) untuk Mengukur Kinerja Keuangan","type":"article-journal","volume":"9"},"uris":["http://www.mendeley.com/documents/?uuid=862e742c-214a-41cb-b620-b8a8e669715e"]}],"mendeley":{"formattedCitation":"(Wijaya, 2019)","plainTextFormattedCitation":"(Wijaya, 2019)","previouslyFormattedCitation":"(Wijaya, 2019)"},"properties":{"noteIndex":0},"schema":"https://github.com/citation-style-language/schema/raw/master/csl-citation.json"}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(Wijaya, 2019)</w:t>
      </w:r>
      <w:r w:rsidRPr="004E08B9">
        <w:rPr>
          <w:rFonts w:ascii="Cambria" w:hAnsi="Cambria" w:cs="Times New Roman"/>
          <w:sz w:val="24"/>
          <w:szCs w:val="24"/>
        </w:rPr>
        <w:fldChar w:fldCharType="end"/>
      </w:r>
      <w:r w:rsidRPr="004E08B9">
        <w:rPr>
          <w:rFonts w:ascii="Cambria" w:hAnsi="Cambria" w:cs="Times New Roman"/>
          <w:sz w:val="24"/>
          <w:szCs w:val="24"/>
        </w:rPr>
        <w:t xml:space="preserve"> namun yang banyak digunakan menurut hasil systematic literatur review yaitu ROA.</w:t>
      </w:r>
    </w:p>
    <w:p w14:paraId="1D4A9DE7" w14:textId="77777777" w:rsidR="004E08B9" w:rsidRPr="004E08B9" w:rsidRDefault="004E08B9" w:rsidP="004E08B9">
      <w:pPr>
        <w:spacing w:after="240" w:line="276" w:lineRule="auto"/>
        <w:ind w:firstLine="720"/>
        <w:jc w:val="both"/>
        <w:rPr>
          <w:rFonts w:ascii="Cambria" w:hAnsi="Cambria" w:cs="Times New Roman"/>
          <w:sz w:val="24"/>
          <w:szCs w:val="24"/>
        </w:rPr>
      </w:pPr>
      <w:r w:rsidRPr="004E08B9">
        <w:rPr>
          <w:rFonts w:ascii="Cambria" w:hAnsi="Cambria" w:cs="Times New Roman"/>
          <w:sz w:val="24"/>
          <w:szCs w:val="24"/>
        </w:rPr>
        <w:t xml:space="preserve">Untuk menjawab pertanyaan RQ 3 yaitu korelasi antara </w:t>
      </w:r>
      <w:r w:rsidRPr="004E08B9">
        <w:rPr>
          <w:rFonts w:ascii="Cambria" w:hAnsi="Cambria" w:cs="Times New Roman"/>
          <w:i/>
          <w:iCs/>
          <w:sz w:val="24"/>
          <w:szCs w:val="24"/>
        </w:rPr>
        <w:t>Good Corporate Governance</w:t>
      </w:r>
      <w:r w:rsidRPr="004E08B9">
        <w:rPr>
          <w:rFonts w:ascii="Cambria" w:hAnsi="Cambria" w:cs="Times New Roman"/>
          <w:sz w:val="24"/>
          <w:szCs w:val="24"/>
        </w:rPr>
        <w:t xml:space="preserve"> dan Kinerja keuangan dengan melihat proksi yang banyak digunakan dalam penelitian yang telah dianalisis sebelumnya yaitu Kepemilikan institusional, kepemilikan manajerial dan komite audit terhadap ROA. Pada hasil systematic literature review yang telah dilakukan hampir semua artikel terpilih dapat menjelaskan hubungan </w:t>
      </w:r>
      <w:r w:rsidRPr="004E08B9">
        <w:rPr>
          <w:rFonts w:ascii="Cambria" w:hAnsi="Cambria" w:cs="Times New Roman"/>
          <w:i/>
          <w:iCs/>
          <w:sz w:val="24"/>
          <w:szCs w:val="24"/>
        </w:rPr>
        <w:t>Good Corporate Governance</w:t>
      </w:r>
      <w:r w:rsidRPr="004E08B9">
        <w:rPr>
          <w:rFonts w:ascii="Cambria" w:hAnsi="Cambria" w:cs="Times New Roman"/>
          <w:sz w:val="24"/>
          <w:szCs w:val="24"/>
        </w:rPr>
        <w:t xml:space="preserve"> salah satunya ialah artikel A3 yaitu penelitian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{"citationItems":[{"id":"ITEM-1","itemData":{"ISSN":"2686-5610","abstract":"This study aims to examine the effect of good corporate gover-nance on financial performance. The independent variable in this study is good corporate governance which is proxied as board of directors, board of independent commissioners, audit committees, managerial ownerships, and institutional ownerships, while the dependent variable of this study is financial performance which proxied as return on assets (ROA). The sample used in this study were 24 state-owned companies listed on IDX for the 2015-2019 period. The sampling method used is non-probability sampling. This study uses secondary data in the form of annual reports for the 2015-2019 period which obtained from the company's official website. The data collected were then analyzed by multiple linear regressions using SPSS 25. The results of this study show that board of independent commissioners have negative effects on ROA. This means that the greater the number of board independent commissioners, the lower the ROA will be. The results also show that other independent variables, namely board of directors, audit committees, managerial ownerships, and institutional ownerships have no effect on ROA.","author":[{"dropping-particle":"","family":"Megawati","given":"Happy","non-dropping-particle":"","parse-names":false,"suffix":""}],"container-title":"Media Akuntansi dan Perpajakan Indonesia","id":"ITEM-1","issue":"2","issued":{"date-parts":[["2021"]]},"note":"Cited By (since 2021): 8","page":"139-160","publisher":"journal.uc.ac.id","title":"Good Corporate Governance dan Kinerja Keuangan (Studi Empiris pada BUMN di Indonesia)","type":"article","volume":"2"},"uris":["http://www.mendeley.com/documents/?uuid=e21fa848-8760-4617-9daf-f56573a4b85b"]}],"mendeley":{"formattedCitation":"(Megawati, 2021)","plainTextFormattedCitation":"(Megawati, 2021)","previouslyFormattedCitation":"(Megawati, 2021)"},"properties":{"noteIndex":0},"schema":"https://github.com/citation-style-language/schema/raw/master/csl-citation.json"}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(Megawati, 2021)</w:t>
      </w:r>
      <w:r w:rsidRPr="004E08B9">
        <w:rPr>
          <w:rFonts w:ascii="Cambria" w:hAnsi="Cambria" w:cs="Times New Roman"/>
          <w:sz w:val="24"/>
          <w:szCs w:val="24"/>
        </w:rPr>
        <w:fldChar w:fldCharType="end"/>
      </w:r>
      <w:r w:rsidRPr="004E08B9">
        <w:rPr>
          <w:rFonts w:ascii="Cambria" w:hAnsi="Cambria" w:cs="Times New Roman"/>
          <w:sz w:val="24"/>
          <w:szCs w:val="24"/>
        </w:rPr>
        <w:t xml:space="preserve"> bahwa dalam penelitian tersebut menjelaskan </w:t>
      </w:r>
      <w:r w:rsidRPr="004E08B9">
        <w:rPr>
          <w:rFonts w:ascii="Cambria" w:hAnsi="Cambria" w:cs="Times New Roman"/>
          <w:i/>
          <w:iCs/>
          <w:sz w:val="24"/>
          <w:szCs w:val="24"/>
        </w:rPr>
        <w:t>Good Corporate Governance</w:t>
      </w:r>
      <w:r w:rsidRPr="004E08B9">
        <w:rPr>
          <w:rFonts w:ascii="Cambria" w:hAnsi="Cambria" w:cs="Times New Roman"/>
          <w:sz w:val="24"/>
          <w:szCs w:val="24"/>
        </w:rPr>
        <w:t xml:space="preserve"> yang diproksi oleh Dewan Komisaris independent, dewan direksi, komite audit, kepemilikan manajerial, dan kepemilikan institusional tidak memiliki dampak terhadap ROA terlebih pada proksi Dewan komisaris independent mempunyai dampak negatif pada ROA maksudnya jika bertambah total dewan komisaris independent akan membuat nilai ROA menurun dikarenakan selama bisnis terus membebankan biaya kepada komisioner independen, pengendalian dari Dewan komisaris Independen kurang maksimal untuk memupuk kinerja keuangan.</w:t>
      </w:r>
    </w:p>
    <w:p w14:paraId="52985719" w14:textId="77777777" w:rsidR="004E08B9" w:rsidRPr="004E08B9" w:rsidRDefault="004E08B9" w:rsidP="004E08B9">
      <w:pPr>
        <w:spacing w:after="240" w:line="276" w:lineRule="auto"/>
        <w:ind w:firstLine="720"/>
        <w:jc w:val="both"/>
        <w:rPr>
          <w:rFonts w:ascii="Cambria" w:hAnsi="Cambria" w:cs="Times New Roman"/>
          <w:sz w:val="24"/>
          <w:szCs w:val="24"/>
        </w:rPr>
      </w:pPr>
      <w:r w:rsidRPr="004E08B9">
        <w:rPr>
          <w:rFonts w:ascii="Cambria" w:hAnsi="Cambria" w:cs="Times New Roman"/>
          <w:sz w:val="24"/>
          <w:szCs w:val="24"/>
        </w:rPr>
        <w:t xml:space="preserve">Beberapa penlitian terdahulu juga menjelaskan jika tidak terdapat dampak yang signifikan antara </w:t>
      </w:r>
      <w:r w:rsidRPr="004E08B9">
        <w:rPr>
          <w:rFonts w:ascii="Cambria" w:hAnsi="Cambria" w:cs="Times New Roman"/>
          <w:i/>
          <w:iCs/>
          <w:sz w:val="24"/>
          <w:szCs w:val="24"/>
        </w:rPr>
        <w:t>Good Corporate Governane</w:t>
      </w:r>
      <w:r w:rsidRPr="004E08B9">
        <w:rPr>
          <w:rFonts w:ascii="Cambria" w:hAnsi="Cambria" w:cs="Times New Roman"/>
          <w:sz w:val="24"/>
          <w:szCs w:val="24"/>
        </w:rPr>
        <w:t xml:space="preserve"> pada kinerja keuangan seperti yang dinyatakan oleh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{"citationItems":[{"id":"ITEM-1","itemData":{"DOI":"10.24002/modus.v34i1.5000","ISSN":"0852-1875","abstract":"This study aims to examine the effect of good corporate governance (GCG) on financial performance through earnings management mediation. The study was conducted on 19 State-Owned Enterprises listed on the Indonesia Stock Exchange for the 2015-2019 period which were selected using the purposive sampling method. Testing the data using Partial Least Square (PLS), the results showed that GCG had no effect on financial performance, but GCG had a negative effect on earnings management. Furthermore, earnings management had no effect on financial performance. Finally, GCG was not found to have an effect on financial performance through earnings management. Keywords: good corporate governance; financial performance; earnings management ABSTRAK Penelitian ini bertujuan untuk menguji pengaruh tata kelola perusahaan (Good Corporate Governance/GCG) terhadap kinerja keuangan melalui mediasi manajemen laba. Penelitian dilakukan pada 19 Badan Usaha Milik Negara yang terdaftar di Bursa Efek Indonesia periode 2015-2019 yang dipilih dengan metode purposive sampling. Pengujian data menggunakan Partial Least Square (PLS). Hasil menunjukkan bahwa GCG tidak berpengaruh terhadap kinerja keuangan, namun GCG berpengaruh negatif terhadap manajemen laba. Selanjutnya, manajemen laba tidak berpengaruh terhadap kinerja keuangan. Terakhir, GCG tidak ditemukan berpengaruh terhadap kinerja keuangan melalui manajemen laba. Kata kunci: tata kelola perusahaan; kinerja keuangan; manajemen laba","author":[{"dropping-particle":"","family":"Saputra","given":"Vioaldy Eprilian","non-dropping-particle":"","parse-names":false,"suffix":""},{"dropping-particle":"","family":"Rita","given":"Maria Rio","non-dropping-particle":"","parse-names":false,"suffix":""},{"dropping-particle":"","family":"Sakti","given":"Imanuel Madea","non-dropping-particle":"","parse-names":false,"suffix":""}],"container-title":"Modus","id":"ITEM-1","issue":"1","issued":{"date-parts":[["2022"]]},"note":"Cited By (since 2022): 5","page":"1-23","publisher":"ojs.uajy.ac.id","title":"Efek Mekanisme Good Corporate Governance Terhadap Kinerja Keuangan Melalui Mediasi Manajemen Laba","type":"article-journal","volume":"34"},"uris":["http://www.mendeley.com/documents/?uuid=64963560-11c7-46db-8b23-e7850dcca19d"]}],"mendeley":{"formattedCitation":"(Saputra et al., 2022)","plainTextFormattedCitation":"(Saputra et al., 2022)","previouslyFormattedCitation":"(Saputra et al., 2022)"},"properties":{"noteIndex":0},"schema":"https://github.com/citation-style-language/schema/raw/master/csl-citation.json"}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(Saputra et al., 2022)</w:t>
      </w:r>
      <w:r w:rsidRPr="004E08B9">
        <w:rPr>
          <w:rFonts w:ascii="Cambria" w:hAnsi="Cambria" w:cs="Times New Roman"/>
          <w:sz w:val="24"/>
          <w:szCs w:val="24"/>
        </w:rPr>
        <w:fldChar w:fldCharType="end"/>
      </w:r>
      <w:r w:rsidRPr="004E08B9">
        <w:rPr>
          <w:rFonts w:ascii="Cambria" w:hAnsi="Cambria" w:cs="Times New Roman"/>
          <w:sz w:val="24"/>
          <w:szCs w:val="24"/>
        </w:rPr>
        <w:t xml:space="preserve">. Selain itu kenaikan kinerja keuangan tidak dijamin keefektifan dari ketetapan yang diambil oleh ukuran dewan direksi di suatu perusahaan. Begitu juga komite audit dan kepemilikan institusional juga tidak menanggung keefektifan inspeksi </w:t>
      </w:r>
      <w:r w:rsidRPr="004E08B9">
        <w:rPr>
          <w:rFonts w:ascii="Cambria" w:hAnsi="Cambria" w:cs="Times New Roman"/>
          <w:sz w:val="24"/>
          <w:szCs w:val="24"/>
        </w:rPr>
        <w:lastRenderedPageBreak/>
        <w:t>yang dibagikan pada sisi internal secara efektif dalam upaya kenaikan kinerja keuangan. Selanjutnya yaitu kepemilikan manajerial tidak mempunyai pengaruh terhadap kinerja keuangan dikarenakan manajer belum mengenyam utilitas dari Keputusan yang diambil oleh kepemilikan yang masih minimum.</w:t>
      </w:r>
    </w:p>
    <w:p w14:paraId="39522C0E" w14:textId="77777777" w:rsidR="004E08B9" w:rsidRPr="004E08B9" w:rsidRDefault="004E08B9" w:rsidP="004E08B9">
      <w:pPr>
        <w:spacing w:after="240" w:line="276" w:lineRule="auto"/>
        <w:ind w:firstLine="720"/>
        <w:jc w:val="both"/>
        <w:rPr>
          <w:rFonts w:ascii="Cambria" w:hAnsi="Cambria" w:cs="Times New Roman"/>
          <w:sz w:val="24"/>
          <w:szCs w:val="24"/>
        </w:rPr>
      </w:pPr>
      <w:r w:rsidRPr="004E08B9">
        <w:rPr>
          <w:rFonts w:ascii="Cambria" w:hAnsi="Cambria" w:cs="Times New Roman"/>
          <w:sz w:val="24"/>
          <w:szCs w:val="24"/>
        </w:rPr>
        <w:t xml:space="preserve">Berbeda halnya pada artikel A1 yaitu penelitian </w:t>
      </w:r>
      <w:r w:rsidRPr="004E08B9">
        <w:rPr>
          <w:rFonts w:ascii="Cambria" w:hAnsi="Cambria" w:cs="Times New Roman"/>
          <w:sz w:val="24"/>
          <w:szCs w:val="24"/>
        </w:rPr>
        <w:fldChar w:fldCharType="begin" w:fldLock="1"/>
      </w:r>
      <w:r w:rsidRPr="004E08B9">
        <w:rPr>
          <w:rFonts w:ascii="Cambria" w:hAnsi="Cambria" w:cs="Times New Roman"/>
          <w:sz w:val="24"/>
          <w:szCs w:val="24"/>
        </w:rPr>
        <w:instrText>ADDIN CSL_CITATION {"citationItems":[{"id":"ITEM-1","itemData":{"DOI":"10.51510/polimedia.v24i4.1364","ISSN":"1410-7422","abstract":"Kinerja keuangan merupakan tolak ukur yang dapat menunjukkan kondisi perusahaan dalam keadaan baik atau buruk. Kondisi perusahaan yang baik akan menarik para investor untuk menanamkan modal mereka sehingga dapat meningkatkan kinerja keuangan perusahaan, namun apabila kondisi perusahaan tersebut buruk maka sistem pengelolaan perusahaan tersebut ditigkatkan lagi sehingga mendapatkan hasil seperti yang diharapkan. Penelitian ini bertujuan untuk menjelaskan pengaruh simultan dan parsial dari Good Corporate Governance yang terdiri dari variabel kepemilikan institusional, kepemilikan manajerial, dan komite audit terhadap kinerja keuangan perusahaa yang diukur dengan Returns On Assets. Populasi dalam penelitian ini adalah perusahaan manufaktur yang terdaftar di Bursa Efek Indonesia pada periode 2016-2020. Metode pengumpulan data menggunakan metode dokumentasi. Penelitian ini menggunakan analisis deskriptif dan regresi berganda untuk analisis data. Hasil penelitian yang telah dilakukan pada perusahaan manufaktur yang terdaftar di Bursa Efek Indonesia pada 2016-2020 menunjukkan bahwa secara parsial hanya komite audit yang berdampak signifikan terhadap kinerja keuangan perusahaan. Pengaruh simultan menunjukkan bahwa kepemilikan instututional, kepemilikan manajerial, dan komite audit bersama-sama signifikan pada kinerja keuangan perusahaan. Kesimpulan dari penelitian ini adalah secara simultan ada pengaruh antara variabel kepemilikan institusional, kepemilikan manajerial, dan komite audit terhadap kinerja keuangan perusahaan. Secara parsial hanya komite audit yang mempengaruhi kinerja keuangan perusahaan.","author":[{"dropping-particle":"","family":"Manurung","given":"Saurma Veronica","non-dropping-particle":"","parse-names":false,"suffix":""}],"container-title":"Majalah Iptek Politeknik Negeri Medan Polimedia","id":"ITEM-1","issue":"4","issued":{"date-parts":[["2023"]]},"note":"From Duplicate 1 (Pengaruh Good Corporate Governance Terhadap Kinerja Keuangan Pada Perusahaan Manufaktur Yang Terdaftar Di Bursa Efek Indonesia - Manurung, Saurma Veronica)\n\nCited By (since 2022): 11\n\nFrom Duplicate 2 (Pengaruh Good Corporate Governance Terhadap Kinerja Keuangan Pada Perusahaan Manufaktur Yang Terdaftar Di Bursa Efek Indonesia - Manurung, Saurma Veronica)\n\nCited By (since 2022): 6\n\nFrom Duplicate 3 (Pengaruh Good Corporate Governance Terhadap Kinerja Keuangan Pada Perusahaan Manufaktur Yang Terdaftar Di Bursa Efek Indonesia - Manurung, Saurma Veronica)\n\nFrom Duplicate 1 (Pengaruh Good Corporate Governance Terhadap Kinerja Keuangan Pada Perusahaan Manufaktur Yang Terdaftar Di Bursa Efek Indonesia - Manurung, Saurma Veronica)\n\nCited By (since 2022): 6\n\nFrom Duplicate 2 (Pengaruh Good Corporate Governance Terhadap Kinerja Keuangan Pada Perusahaan Manufaktur Yang Terdaftar Di Bursa Efek Indonesia - Manurung, Saurma Veronica)\n\nCited By (since 2022): 11","page":"62-80","publisher":"e-journal.unmas.ac.id","title":"Pengaruh Good Corporate Governance Terhadap Kinerja Keuangan Pada Perusahaan Manufaktur Yang Terdaftar Di Bursa Efek Indonesia","type":"article-journal","volume":"24"},"uris":["http://www.mendeley.com/documents/?uuid=749bf39d-31c4-4538-ba3c-427e8f54d6b8"]}],"mendeley":{"formattedCitation":"(Manurung, 2023)","plainTextFormattedCitation":"(Manurung, 2023)","previouslyFormattedCitation":"(Manurung, 2023)"},"properties":{"noteIndex":0},"schema":"https://github.com/citation-style-language/schema/raw/master/csl-citation.json"}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(Manurung, 2023)</w:t>
      </w:r>
      <w:r w:rsidRPr="004E08B9">
        <w:rPr>
          <w:rFonts w:ascii="Cambria" w:hAnsi="Cambria" w:cs="Times New Roman"/>
          <w:sz w:val="24"/>
          <w:szCs w:val="24"/>
        </w:rPr>
        <w:fldChar w:fldCharType="end"/>
      </w:r>
      <w:r w:rsidRPr="004E08B9">
        <w:rPr>
          <w:rFonts w:ascii="Cambria" w:hAnsi="Cambria" w:cs="Times New Roman"/>
          <w:sz w:val="24"/>
          <w:szCs w:val="24"/>
        </w:rPr>
        <w:t xml:space="preserve"> yang menjelaskan bahwa pada artikel ini komite audit berdampak pada kinerja keuangan dikarenakan Komite audit mengamati laporan keuangan, audit eksternal, dan sistem pengendalian internal untuk mencegah perilaku opportunistik manajemen, seperti manajemen laba, dengan tujuan meminimalkan konflik keagenan yang bisa merugikan perusahaan. Dalam artikel ini dijelaskan bahwa kepemilikan institusional tidak terdapat hubungan dengan kinerja keuangan dikarenakanBanyak investor institusi sering tidak memberikan pengawasan manajemen perusahaan terbaik mungkin mereka akan mengabaikan kekhawatiran pemegang saham minoritas dan sebaliknya mengkompromi atau membantu manajemen. Sedangkan untuk kepemilikan manajerial tidak berpengaruh dikarenakan masih banyak manajer yang tidak mempunyai saham dengan jumlah yang signifikan.</w:t>
      </w:r>
    </w:p>
    <w:p w14:paraId="3D1817C2" w14:textId="36B467C6" w:rsidR="004E08B9" w:rsidRPr="004E08B9" w:rsidRDefault="004E08B9" w:rsidP="004E08B9">
      <w:pPr>
        <w:spacing w:after="240" w:line="276" w:lineRule="auto"/>
        <w:ind w:firstLine="720"/>
        <w:jc w:val="both"/>
        <w:rPr>
          <w:rFonts w:ascii="Cambria" w:hAnsi="Cambria" w:cs="Times New Roman"/>
          <w:sz w:val="24"/>
          <w:szCs w:val="24"/>
        </w:rPr>
      </w:pPr>
      <w:r w:rsidRPr="004E08B9">
        <w:rPr>
          <w:rFonts w:ascii="Cambria" w:hAnsi="Cambria" w:cs="Times New Roman"/>
          <w:sz w:val="24"/>
          <w:szCs w:val="24"/>
        </w:rPr>
        <w:t xml:space="preserve">Begitu juga dengan proksi kinerja keuangan yang menggunakan ROE yang ditunjukkan oleh artikel A7 penelitian yang dilakukan oleh </w:t>
      </w:r>
      <w:r w:rsidRPr="004E08B9">
        <w:rPr>
          <w:rFonts w:ascii="Cambria" w:hAnsi="Cambria" w:cs="Times New Roman"/>
          <w:sz w:val="24"/>
          <w:szCs w:val="24"/>
        </w:rPr>
        <w:fldChar w:fldCharType="begin" w:fldLock="1"/>
      </w:r>
      <w:r w:rsidR="00EF58B8">
        <w:rPr>
          <w:rFonts w:ascii="Cambria" w:hAnsi="Cambria" w:cs="Times New Roman"/>
          <w:sz w:val="24"/>
          <w:szCs w:val="24"/>
        </w:rPr>
        <w:instrText>ADDIN CSL_CITATION {"citationItems":[{"id":"ITEM-1","itemData":{"ISSN":"2443-3071","abstract":"This study aims to examine and analyze the influence of good corporate governance on corporate financial performance. Good corporate governance in this study is proxied by percentage of institutional ownership, composition of board of directors and composition of independent commissioner. The financial performance of a banking company is measured by Return on Equity (ROE). The population of this study are banking companies Book II and III listed on the Indonesia Stock Exchange (BEI), amounting to 29 companies. The technique of the sample using purposive sampling obtained 19 companies. The type of data used is secondary data. Data analysis technique in this research use multiple linear regression analysis. The results of this study partially indicate that the percentage of institutional ownership, composition of board of directors and composition of independent commissioner has no significant effect with the direction of negative coefficient on ROE. While the simultaneous percentage of institutional ownership, the composition of the board of directors and the composition of independent commissioners composition have significant effect on ROE with positive coefficient direction.","author":[{"dropping-particle":"","family":"Melania","given":"Vella","non-dropping-particle":"","parse-names":false,"suffix":""},{"dropping-particle":"","family":"Dewi","given":"Aminar Sutra","non-dropping-particle":"","parse-names":false,"suffix":""}],"container-title":"Sekolah Tinggi Ilmu Ekonomi KBP","id":"ITEM-1","issued":{"date-parts":[["2019"]]},"note":"Cited By (since 2019): 25","page":"1-15","publisher":"osf.io","title":"Pengaruh Good Corporate Governance Terhadap Kinerja Keuangan Dengan Manajemen Laba Sebagai Variabel Intervening Pada Perusahaan Perbankan Yang Terdaftar Di Bursa Efek Indonesia","type":"article"},"uris":["http://www.mendeley.com/documents/?uuid=397ee5ea-ac4c-4689-989a-8b8d9785ec35"]}],"mendeley":{"formattedCitation":"(Melania &amp; Dewi, 2019)","plainTextFormattedCitation":"(Melania &amp; Dewi, 2019)","previouslyFormattedCitation":"(Melania &amp; Dewi, 2019)"},"properties":{"noteIndex":0},"schema":"https://github.com/citation-style-language/schema/raw/master/csl-citation.json"}</w:instrText>
      </w:r>
      <w:r w:rsidRPr="004E08B9">
        <w:rPr>
          <w:rFonts w:ascii="Cambria" w:hAnsi="Cambria" w:cs="Times New Roman"/>
          <w:sz w:val="24"/>
          <w:szCs w:val="24"/>
        </w:rPr>
        <w:fldChar w:fldCharType="separate"/>
      </w:r>
      <w:r w:rsidRPr="004E08B9">
        <w:rPr>
          <w:rFonts w:ascii="Cambria" w:hAnsi="Cambria" w:cs="Times New Roman"/>
          <w:noProof/>
          <w:sz w:val="24"/>
          <w:szCs w:val="24"/>
        </w:rPr>
        <w:t>(Melania &amp; Dewi, 2019)</w:t>
      </w:r>
      <w:r w:rsidRPr="004E08B9">
        <w:rPr>
          <w:rFonts w:ascii="Cambria" w:hAnsi="Cambria" w:cs="Times New Roman"/>
          <w:sz w:val="24"/>
          <w:szCs w:val="24"/>
        </w:rPr>
        <w:fldChar w:fldCharType="end"/>
      </w:r>
      <w:r w:rsidRPr="004E08B9">
        <w:rPr>
          <w:rFonts w:ascii="Cambria" w:hAnsi="Cambria" w:cs="Times New Roman"/>
          <w:sz w:val="24"/>
          <w:szCs w:val="24"/>
        </w:rPr>
        <w:t xml:space="preserve"> yaitu kepemilikan institusional, dewan direksi, dan komisaris independent tidak ada pengaruh terhadap ROE. Untuk kepemilikan institusional jika semakin tinggi persentasenya hal itu tidak memberikan jaminan bahwa penerapan pengendalian akan meningkatkan kinerja keuangan perusahaan. Begitu juga ketidakpastian guna dewan direksi terletak pada kesulitan koordinasi, pertukaran ide, dan saran antara para direktur. Hal ini dapat memperlambat pengambilan keputusan dan berdampak negatif pada kinerja perusahaan. Selanjutnya untuk komisaris independent yaitu situasinya menggambarkan bahwa pemilik mayoritas saham memiliki kekuatan kontrol yang substansial di dalam perusahaan. Akibatnya, peran pengawasan yang diemban oleh komisaris independen menjadi kurang efektif.</w:t>
      </w:r>
    </w:p>
    <w:p w14:paraId="7352FCDE"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605FD3C2" w14:textId="77777777" w:rsidR="004E08B9" w:rsidRPr="004E08B9" w:rsidRDefault="004E08B9" w:rsidP="004E08B9">
      <w:pPr>
        <w:spacing w:after="60" w:line="276" w:lineRule="auto"/>
        <w:ind w:firstLine="720"/>
        <w:jc w:val="both"/>
        <w:rPr>
          <w:rFonts w:ascii="Cambria" w:eastAsia="Cambria" w:hAnsi="Cambria" w:cs="Cambria"/>
          <w:sz w:val="24"/>
          <w:szCs w:val="24"/>
        </w:rPr>
      </w:pPr>
      <w:r w:rsidRPr="004E08B9">
        <w:rPr>
          <w:rFonts w:ascii="Cambria" w:eastAsia="Cambria" w:hAnsi="Cambria" w:cs="Cambria"/>
          <w:sz w:val="24"/>
          <w:szCs w:val="24"/>
        </w:rPr>
        <w:t>Kesimpulan penelitian ini ialah tidak semua proksi Good Corporate Governance memiliki pengaruh pada kinerja keuangan baik menggunakan ROA maupun ROE. Hal ini dapat terjadi karena jangka waktu penelitian atau sampel perusahaan yang digunakan.</w:t>
      </w:r>
    </w:p>
    <w:p w14:paraId="28CA40AD" w14:textId="6ECB1087" w:rsidR="00A27BA3" w:rsidRDefault="004E08B9" w:rsidP="004E08B9">
      <w:pPr>
        <w:spacing w:after="60" w:line="276" w:lineRule="auto"/>
        <w:jc w:val="both"/>
        <w:rPr>
          <w:rFonts w:ascii="Cambria" w:eastAsia="Cambria" w:hAnsi="Cambria" w:cs="Cambria"/>
          <w:sz w:val="24"/>
          <w:szCs w:val="24"/>
        </w:rPr>
      </w:pPr>
      <w:r w:rsidRPr="004E08B9">
        <w:rPr>
          <w:rFonts w:ascii="Cambria" w:eastAsia="Cambria" w:hAnsi="Cambria" w:cs="Cambria"/>
          <w:sz w:val="24"/>
          <w:szCs w:val="24"/>
        </w:rPr>
        <w:t>Keterbatasan penelitian ini yaitu masih kurangnya penjelasan mengenai masing-masing proksi Good Coporate Governance yang paling signifikan dalam mempengaruhi kinerja keuangan. Saran untuk peneliti selanjutnya yaitu dapat menjelaskan lebih detail lagi mengenai hubungan Good Corporate Governance dan kinerja keuangan serta dapat menganalisis lebih dalam lagi mengenai proksi yang dipakai untuk melihat kinerja keuangan</w:t>
      </w:r>
      <w:r>
        <w:rPr>
          <w:rFonts w:ascii="Cambria" w:eastAsia="Cambria" w:hAnsi="Cambria" w:cs="Cambria"/>
          <w:sz w:val="24"/>
          <w:szCs w:val="24"/>
        </w:rPr>
        <w:t>.</w:t>
      </w:r>
    </w:p>
    <w:p w14:paraId="6DA71257" w14:textId="77777777" w:rsidR="004E08B9" w:rsidRDefault="004E08B9" w:rsidP="004E08B9">
      <w:pPr>
        <w:spacing w:after="60" w:line="276" w:lineRule="auto"/>
        <w:jc w:val="both"/>
        <w:rPr>
          <w:rFonts w:ascii="Cambria" w:eastAsia="Cambria" w:hAnsi="Cambria" w:cs="Cambria"/>
          <w:sz w:val="24"/>
          <w:szCs w:val="24"/>
        </w:rPr>
      </w:pPr>
    </w:p>
    <w:p w14:paraId="2A0BB138" w14:textId="77777777" w:rsidR="004E08B9" w:rsidRDefault="004E08B9" w:rsidP="004E08B9">
      <w:pPr>
        <w:spacing w:after="60" w:line="276" w:lineRule="auto"/>
        <w:jc w:val="both"/>
        <w:rPr>
          <w:rFonts w:ascii="Cambria" w:eastAsia="Cambria" w:hAnsi="Cambria" w:cs="Cambria"/>
          <w:sz w:val="24"/>
          <w:szCs w:val="24"/>
        </w:rPr>
      </w:pPr>
    </w:p>
    <w:p w14:paraId="4A7BD709" w14:textId="77777777" w:rsidR="004E08B9" w:rsidRDefault="004E08B9" w:rsidP="004E08B9">
      <w:pPr>
        <w:spacing w:after="60" w:line="276" w:lineRule="auto"/>
        <w:jc w:val="both"/>
        <w:rPr>
          <w:rFonts w:ascii="Cambria" w:eastAsia="Cambria" w:hAnsi="Cambria" w:cs="Cambria"/>
          <w:b/>
          <w:sz w:val="24"/>
          <w:szCs w:val="24"/>
        </w:rPr>
      </w:pPr>
    </w:p>
    <w:p w14:paraId="721FE5A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REFERENCES</w:t>
      </w:r>
    </w:p>
    <w:p w14:paraId="20D38FCB" w14:textId="30A73A6B"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Pr="00EF58B8">
        <w:rPr>
          <w:rFonts w:ascii="Cambria" w:hAnsi="Cambria" w:cs="Times New Roman"/>
          <w:noProof/>
          <w:sz w:val="24"/>
          <w:szCs w:val="24"/>
        </w:rPr>
        <w:t xml:space="preserve">Aziz, A. A., Samrotun, Y. C., &amp; Dewi, R. R. (2021). Pengaruh Good Corporate Governance, Modal Intelektual, Ukuran Perusahaan terhadap Kinerja Keuangan pada Perusahaan Makanan. </w:t>
      </w:r>
      <w:r w:rsidRPr="00EF58B8">
        <w:rPr>
          <w:rFonts w:ascii="Cambria" w:hAnsi="Cambria" w:cs="Times New Roman"/>
          <w:i/>
          <w:iCs/>
          <w:noProof/>
          <w:sz w:val="24"/>
          <w:szCs w:val="24"/>
        </w:rPr>
        <w:t>Ekonomis: Journal of Economics and Business</w:t>
      </w:r>
      <w:r w:rsidRPr="00EF58B8">
        <w:rPr>
          <w:rFonts w:ascii="Cambria" w:hAnsi="Cambria" w:cs="Times New Roman"/>
          <w:noProof/>
          <w:sz w:val="24"/>
          <w:szCs w:val="24"/>
        </w:rPr>
        <w:t xml:space="preserve">, </w:t>
      </w:r>
      <w:r w:rsidRPr="00EF58B8">
        <w:rPr>
          <w:rFonts w:ascii="Cambria" w:hAnsi="Cambria" w:cs="Times New Roman"/>
          <w:i/>
          <w:iCs/>
          <w:noProof/>
          <w:sz w:val="24"/>
          <w:szCs w:val="24"/>
        </w:rPr>
        <w:t>5</w:t>
      </w:r>
      <w:r w:rsidRPr="00EF58B8">
        <w:rPr>
          <w:rFonts w:ascii="Cambria" w:hAnsi="Cambria" w:cs="Times New Roman"/>
          <w:noProof/>
          <w:sz w:val="24"/>
          <w:szCs w:val="24"/>
        </w:rPr>
        <w:t>(1), 46. https://doi.org/10.33087/ekonomis.v5i1.200</w:t>
      </w:r>
    </w:p>
    <w:p w14:paraId="6F401EF5" w14:textId="77777777" w:rsid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Budi gautama Siregar. (2021). Analisis Penerapan Good Corporate Governance Dalam Meningkatkan Kinerja Keuangan Perusahaan. </w:t>
      </w:r>
      <w:r w:rsidRPr="00EF58B8">
        <w:rPr>
          <w:rFonts w:ascii="Cambria" w:hAnsi="Cambria" w:cs="Times New Roman"/>
          <w:i/>
          <w:iCs/>
          <w:noProof/>
          <w:sz w:val="24"/>
          <w:szCs w:val="24"/>
        </w:rPr>
        <w:t>Jurnal Penelitian Ekonomi Akuntansi (JENSI)</w:t>
      </w:r>
      <w:r w:rsidRPr="00EF58B8">
        <w:rPr>
          <w:rFonts w:ascii="Cambria" w:hAnsi="Cambria" w:cs="Times New Roman"/>
          <w:noProof/>
          <w:sz w:val="24"/>
          <w:szCs w:val="24"/>
        </w:rPr>
        <w:t xml:space="preserve">, </w:t>
      </w:r>
      <w:r w:rsidRPr="00EF58B8">
        <w:rPr>
          <w:rFonts w:ascii="Cambria" w:hAnsi="Cambria" w:cs="Times New Roman"/>
          <w:i/>
          <w:iCs/>
          <w:noProof/>
          <w:sz w:val="24"/>
          <w:szCs w:val="24"/>
        </w:rPr>
        <w:t>5</w:t>
      </w:r>
      <w:r w:rsidRPr="00EF58B8">
        <w:rPr>
          <w:rFonts w:ascii="Cambria" w:hAnsi="Cambria" w:cs="Times New Roman"/>
          <w:noProof/>
          <w:sz w:val="24"/>
          <w:szCs w:val="24"/>
        </w:rPr>
        <w:t>(1), 31–41. https://doi.org/10.33059/jensi.v5i1.3799</w:t>
      </w:r>
    </w:p>
    <w:p w14:paraId="784282DA" w14:textId="77777777" w:rsidR="00EF58B8" w:rsidRDefault="00EF58B8" w:rsidP="00EF58B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47D">
        <w:rPr>
          <w:rFonts w:ascii="Times New Roman" w:hAnsi="Times New Roman" w:cs="Times New Roman"/>
          <w:noProof/>
          <w:sz w:val="24"/>
          <w:szCs w:val="24"/>
        </w:rPr>
        <w:t>Effendi (2019). The Power of Good Corporate Governance Teori and Implementasi Jakaarta: Penerbit Salemba Empat.</w:t>
      </w:r>
    </w:p>
    <w:p w14:paraId="09F09066" w14:textId="0167700E" w:rsidR="00EF58B8" w:rsidRPr="00EF58B8" w:rsidRDefault="00EF58B8" w:rsidP="00EF58B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58B8">
        <w:rPr>
          <w:rFonts w:ascii="Cambria" w:hAnsi="Cambria" w:cs="Times New Roman"/>
          <w:noProof/>
          <w:sz w:val="24"/>
          <w:szCs w:val="24"/>
        </w:rPr>
        <w:t xml:space="preserve">Fadilla, U. (2020). Analisis Pengaruh Good Corporate Governance Terhadap Kinerja Keuangan Perusahaan Perbankan yang Terdaftar Pada BEI Pada Tahun 2016-2018. In </w:t>
      </w:r>
      <w:r w:rsidRPr="00EF58B8">
        <w:rPr>
          <w:rFonts w:ascii="Cambria" w:hAnsi="Cambria" w:cs="Times New Roman"/>
          <w:i/>
          <w:iCs/>
          <w:noProof/>
          <w:sz w:val="24"/>
          <w:szCs w:val="24"/>
        </w:rPr>
        <w:t>Fakultas ekonomi universitas islam indonesia yogyakarta</w:t>
      </w:r>
      <w:r w:rsidRPr="00EF58B8">
        <w:rPr>
          <w:rFonts w:ascii="Cambria" w:hAnsi="Cambria" w:cs="Times New Roman"/>
          <w:noProof/>
          <w:sz w:val="24"/>
          <w:szCs w:val="24"/>
        </w:rPr>
        <w:t>. dspace.uii.ac.id. https://dspace.uii.ac.id/handle/123456789/18334</w:t>
      </w:r>
    </w:p>
    <w:p w14:paraId="6CE0420A" w14:textId="77777777" w:rsid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Fadillah, R. N., Kandao, L., Kurniawan, T., &amp; Yohana. (2022). Pengaruh Good Corporate Governance Dan Ukuran Perusahaan Terhadap Kinerja Keuangan Sektor Perbankan Yang Terdaftar Di Bursa Efek Indonesia Tahun 2012-2016. </w:t>
      </w:r>
      <w:r w:rsidRPr="00EF58B8">
        <w:rPr>
          <w:rFonts w:ascii="Cambria" w:hAnsi="Cambria" w:cs="Times New Roman"/>
          <w:i/>
          <w:iCs/>
          <w:noProof/>
          <w:sz w:val="24"/>
          <w:szCs w:val="24"/>
        </w:rPr>
        <w:t>Sitra</w:t>
      </w:r>
      <w:r w:rsidRPr="00EF58B8">
        <w:rPr>
          <w:rFonts w:ascii="Cambria" w:hAnsi="Cambria" w:cs="Times New Roman"/>
          <w:noProof/>
          <w:sz w:val="24"/>
          <w:szCs w:val="24"/>
        </w:rPr>
        <w:t xml:space="preserve">, </w:t>
      </w:r>
      <w:r w:rsidRPr="00EF58B8">
        <w:rPr>
          <w:rFonts w:ascii="Cambria" w:hAnsi="Cambria" w:cs="Times New Roman"/>
          <w:i/>
          <w:iCs/>
          <w:noProof/>
          <w:sz w:val="24"/>
          <w:szCs w:val="24"/>
        </w:rPr>
        <w:t>2</w:t>
      </w:r>
      <w:r w:rsidRPr="00EF58B8">
        <w:rPr>
          <w:rFonts w:ascii="Cambria" w:hAnsi="Cambria" w:cs="Times New Roman"/>
          <w:noProof/>
          <w:sz w:val="24"/>
          <w:szCs w:val="24"/>
        </w:rPr>
        <w:t>(1), 41–51. https://doi.org/10.58872/si.v2i1.76</w:t>
      </w:r>
    </w:p>
    <w:p w14:paraId="0FC054B9" w14:textId="77777777" w:rsidR="00EF58B8" w:rsidRDefault="00EF58B8" w:rsidP="00EF58B8">
      <w:pPr>
        <w:spacing w:after="0" w:line="276" w:lineRule="auto"/>
        <w:jc w:val="both"/>
        <w:rPr>
          <w:rFonts w:ascii="Times New Roman" w:hAnsi="Times New Roman" w:cs="Times New Roman"/>
          <w:sz w:val="24"/>
          <w:szCs w:val="24"/>
        </w:rPr>
      </w:pPr>
      <w:r w:rsidRPr="00EB5EE2">
        <w:rPr>
          <w:rFonts w:ascii="Times New Roman" w:hAnsi="Times New Roman" w:cs="Times New Roman"/>
          <w:sz w:val="24"/>
          <w:szCs w:val="24"/>
        </w:rPr>
        <w:t>Fahmi, I. (2018). Manajemen Kinerja Teori Dan Aplikasi. Alfabeta.</w:t>
      </w:r>
    </w:p>
    <w:p w14:paraId="4B0F8833" w14:textId="35D52154" w:rsidR="00EF58B8" w:rsidRDefault="00EF58B8" w:rsidP="00EF58B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F1A53">
        <w:rPr>
          <w:rFonts w:ascii="Times New Roman" w:hAnsi="Times New Roman" w:cs="Times New Roman"/>
          <w:noProof/>
          <w:sz w:val="24"/>
          <w:szCs w:val="24"/>
        </w:rPr>
        <w:t>Kitchenham, B</w:t>
      </w:r>
      <w:r>
        <w:rPr>
          <w:rFonts w:ascii="Times New Roman" w:hAnsi="Times New Roman" w:cs="Times New Roman"/>
          <w:noProof/>
          <w:sz w:val="24"/>
          <w:szCs w:val="24"/>
        </w:rPr>
        <w:t>. 2004.</w:t>
      </w:r>
      <w:r w:rsidRPr="002F1A53">
        <w:rPr>
          <w:rFonts w:ascii="Times New Roman" w:hAnsi="Times New Roman" w:cs="Times New Roman"/>
          <w:noProof/>
          <w:sz w:val="24"/>
          <w:szCs w:val="24"/>
        </w:rPr>
        <w:t xml:space="preserve"> Procedures for Performing Systematic Reviews</w:t>
      </w:r>
      <w:r>
        <w:rPr>
          <w:rFonts w:ascii="Times New Roman" w:hAnsi="Times New Roman" w:cs="Times New Roman"/>
          <w:noProof/>
          <w:sz w:val="24"/>
          <w:szCs w:val="24"/>
        </w:rPr>
        <w:t>.</w:t>
      </w:r>
      <w:r w:rsidRPr="002F1A53">
        <w:rPr>
          <w:rFonts w:ascii="Times New Roman" w:hAnsi="Times New Roman" w:cs="Times New Roman"/>
          <w:noProof/>
          <w:sz w:val="24"/>
          <w:szCs w:val="24"/>
        </w:rPr>
        <w:t xml:space="preserve"> Tech</w:t>
      </w:r>
      <w:r>
        <w:rPr>
          <w:rFonts w:ascii="Times New Roman" w:hAnsi="Times New Roman" w:cs="Times New Roman"/>
          <w:noProof/>
          <w:sz w:val="24"/>
          <w:szCs w:val="24"/>
        </w:rPr>
        <w:t>nical</w:t>
      </w:r>
      <w:r w:rsidRPr="002F1A53">
        <w:rPr>
          <w:rFonts w:ascii="Times New Roman" w:hAnsi="Times New Roman" w:cs="Times New Roman"/>
          <w:noProof/>
          <w:sz w:val="24"/>
          <w:szCs w:val="24"/>
        </w:rPr>
        <w:t xml:space="preserve"> re</w:t>
      </w:r>
      <w:r>
        <w:rPr>
          <w:rFonts w:ascii="Times New Roman" w:hAnsi="Times New Roman" w:cs="Times New Roman"/>
          <w:noProof/>
          <w:sz w:val="24"/>
          <w:szCs w:val="24"/>
        </w:rPr>
        <w:t>port</w:t>
      </w:r>
      <w:r w:rsidRPr="002F1A53">
        <w:rPr>
          <w:rFonts w:ascii="Times New Roman" w:hAnsi="Times New Roman" w:cs="Times New Roman"/>
          <w:noProof/>
          <w:sz w:val="24"/>
          <w:szCs w:val="24"/>
        </w:rPr>
        <w:t>, Keele University and NICTA</w:t>
      </w:r>
    </w:p>
    <w:p w14:paraId="7252612E"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Mahrani, M., &amp; Soewarno, N. (2018). The effect of good corporate governance mechanism and corporate social responsibility on financial performance with earnings management as mediating variable. </w:t>
      </w:r>
      <w:r w:rsidRPr="00EF58B8">
        <w:rPr>
          <w:rFonts w:ascii="Cambria" w:hAnsi="Cambria" w:cs="Times New Roman"/>
          <w:i/>
          <w:iCs/>
          <w:noProof/>
          <w:sz w:val="24"/>
          <w:szCs w:val="24"/>
        </w:rPr>
        <w:t>Asian Journal of Accounting Research</w:t>
      </w:r>
      <w:r w:rsidRPr="00EF58B8">
        <w:rPr>
          <w:rFonts w:ascii="Cambria" w:hAnsi="Cambria" w:cs="Times New Roman"/>
          <w:noProof/>
          <w:sz w:val="24"/>
          <w:szCs w:val="24"/>
        </w:rPr>
        <w:t xml:space="preserve">, </w:t>
      </w:r>
      <w:r w:rsidRPr="00EF58B8">
        <w:rPr>
          <w:rFonts w:ascii="Cambria" w:hAnsi="Cambria" w:cs="Times New Roman"/>
          <w:i/>
          <w:iCs/>
          <w:noProof/>
          <w:sz w:val="24"/>
          <w:szCs w:val="24"/>
        </w:rPr>
        <w:t>3</w:t>
      </w:r>
      <w:r w:rsidRPr="00EF58B8">
        <w:rPr>
          <w:rFonts w:ascii="Cambria" w:hAnsi="Cambria" w:cs="Times New Roman"/>
          <w:noProof/>
          <w:sz w:val="24"/>
          <w:szCs w:val="24"/>
        </w:rPr>
        <w:t>(1), 41–60. https://doi.org/10.1108/AJAR-06-2018-0008</w:t>
      </w:r>
    </w:p>
    <w:p w14:paraId="5D67231C"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Manurung, S. V. (2023). Pengaruh Good Corporate Governance Terhadap Kinerja Keuangan Pada Perusahaan Manufaktur Yang Terdaftar Di Bursa Efek Indonesia. </w:t>
      </w:r>
      <w:r w:rsidRPr="00EF58B8">
        <w:rPr>
          <w:rFonts w:ascii="Cambria" w:hAnsi="Cambria" w:cs="Times New Roman"/>
          <w:i/>
          <w:iCs/>
          <w:noProof/>
          <w:sz w:val="24"/>
          <w:szCs w:val="24"/>
        </w:rPr>
        <w:t>Majalah Iptek Politeknik Negeri Medan Polimedia</w:t>
      </w:r>
      <w:r w:rsidRPr="00EF58B8">
        <w:rPr>
          <w:rFonts w:ascii="Cambria" w:hAnsi="Cambria" w:cs="Times New Roman"/>
          <w:noProof/>
          <w:sz w:val="24"/>
          <w:szCs w:val="24"/>
        </w:rPr>
        <w:t xml:space="preserve">, </w:t>
      </w:r>
      <w:r w:rsidRPr="00EF58B8">
        <w:rPr>
          <w:rFonts w:ascii="Cambria" w:hAnsi="Cambria" w:cs="Times New Roman"/>
          <w:i/>
          <w:iCs/>
          <w:noProof/>
          <w:sz w:val="24"/>
          <w:szCs w:val="24"/>
        </w:rPr>
        <w:t>24</w:t>
      </w:r>
      <w:r w:rsidRPr="00EF58B8">
        <w:rPr>
          <w:rFonts w:ascii="Cambria" w:hAnsi="Cambria" w:cs="Times New Roman"/>
          <w:noProof/>
          <w:sz w:val="24"/>
          <w:szCs w:val="24"/>
        </w:rPr>
        <w:t>(4), 62–80. https://doi.org/10.51510/polimedia.v24i4.1364</w:t>
      </w:r>
    </w:p>
    <w:p w14:paraId="58BADDAF"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Maridkha, A., &amp; Himmati, R. (2021). Pengaruh good corporate governance terhadap kinerja keuangan perusahaan perbankan periode 2017-2020. </w:t>
      </w:r>
      <w:r w:rsidRPr="00EF58B8">
        <w:rPr>
          <w:rFonts w:ascii="Cambria" w:hAnsi="Cambria" w:cs="Times New Roman"/>
          <w:i/>
          <w:iCs/>
          <w:noProof/>
          <w:sz w:val="24"/>
          <w:szCs w:val="24"/>
        </w:rPr>
        <w:t>Journal of Accounting and Digital Finance</w:t>
      </w:r>
      <w:r w:rsidRPr="00EF58B8">
        <w:rPr>
          <w:rFonts w:ascii="Cambria" w:hAnsi="Cambria" w:cs="Times New Roman"/>
          <w:noProof/>
          <w:sz w:val="24"/>
          <w:szCs w:val="24"/>
        </w:rPr>
        <w:t xml:space="preserve">, </w:t>
      </w:r>
      <w:r w:rsidRPr="00EF58B8">
        <w:rPr>
          <w:rFonts w:ascii="Cambria" w:hAnsi="Cambria" w:cs="Times New Roman"/>
          <w:i/>
          <w:iCs/>
          <w:noProof/>
          <w:sz w:val="24"/>
          <w:szCs w:val="24"/>
        </w:rPr>
        <w:t>1</w:t>
      </w:r>
      <w:r w:rsidRPr="00EF58B8">
        <w:rPr>
          <w:rFonts w:ascii="Cambria" w:hAnsi="Cambria" w:cs="Times New Roman"/>
          <w:noProof/>
          <w:sz w:val="24"/>
          <w:szCs w:val="24"/>
        </w:rPr>
        <w:t>(3), 195–205. https://doi.org/10.53088/jadfi.v1i3.208</w:t>
      </w:r>
    </w:p>
    <w:p w14:paraId="13D76DBA"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Megawati, H. (2021). Good Corporate Governance dan Kinerja Keuangan (Studi Empiris pada BUMN di Indonesia). In </w:t>
      </w:r>
      <w:r w:rsidRPr="00EF58B8">
        <w:rPr>
          <w:rFonts w:ascii="Cambria" w:hAnsi="Cambria" w:cs="Times New Roman"/>
          <w:i/>
          <w:iCs/>
          <w:noProof/>
          <w:sz w:val="24"/>
          <w:szCs w:val="24"/>
        </w:rPr>
        <w:t>Media Akuntansi dan Perpajakan Indonesia</w:t>
      </w:r>
      <w:r w:rsidRPr="00EF58B8">
        <w:rPr>
          <w:rFonts w:ascii="Cambria" w:hAnsi="Cambria" w:cs="Times New Roman"/>
          <w:noProof/>
          <w:sz w:val="24"/>
          <w:szCs w:val="24"/>
        </w:rPr>
        <w:t xml:space="preserve"> (Vol. 2, Issue 2, pp. 139–160). journal.uc.ac.id. https://journal.uc.ac.id/index.php/mapi/article/download/1724/1384</w:t>
      </w:r>
    </w:p>
    <w:p w14:paraId="4A99224E"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Meirina, E., &amp; Abaharis, H. (2020). Mekanisme Good Corporate Governance Dan Leverage Terhadap Kinerja Keuangan Perbankan. </w:t>
      </w:r>
      <w:r w:rsidRPr="00EF58B8">
        <w:rPr>
          <w:rFonts w:ascii="Cambria" w:hAnsi="Cambria" w:cs="Times New Roman"/>
          <w:i/>
          <w:iCs/>
          <w:noProof/>
          <w:sz w:val="24"/>
          <w:szCs w:val="24"/>
        </w:rPr>
        <w:t>Jurnal Pundi</w:t>
      </w:r>
      <w:r w:rsidRPr="00EF58B8">
        <w:rPr>
          <w:rFonts w:ascii="Cambria" w:hAnsi="Cambria" w:cs="Times New Roman"/>
          <w:noProof/>
          <w:sz w:val="24"/>
          <w:szCs w:val="24"/>
        </w:rPr>
        <w:t xml:space="preserve">, </w:t>
      </w:r>
      <w:r w:rsidRPr="00EF58B8">
        <w:rPr>
          <w:rFonts w:ascii="Cambria" w:hAnsi="Cambria" w:cs="Times New Roman"/>
          <w:i/>
          <w:iCs/>
          <w:noProof/>
          <w:sz w:val="24"/>
          <w:szCs w:val="24"/>
        </w:rPr>
        <w:t>3</w:t>
      </w:r>
      <w:r w:rsidRPr="00EF58B8">
        <w:rPr>
          <w:rFonts w:ascii="Cambria" w:hAnsi="Cambria" w:cs="Times New Roman"/>
          <w:noProof/>
          <w:sz w:val="24"/>
          <w:szCs w:val="24"/>
        </w:rPr>
        <w:t>(3), 215. https://doi.org/10.31575/jp.v3i3.195</w:t>
      </w:r>
    </w:p>
    <w:p w14:paraId="6FC5EAD7"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Melania, V., &amp; Dewi, A. S. (2019). Pengaruh Good Corporate Governance Terhadap Kinerja Keuangan Dengan Manajemen Laba Sebagai Variabel Intervening Pada Perusahaan Perbankan Yang Terdaftar Di Bursa Efek Indonesia. In </w:t>
      </w:r>
      <w:r w:rsidRPr="00EF58B8">
        <w:rPr>
          <w:rFonts w:ascii="Cambria" w:hAnsi="Cambria" w:cs="Times New Roman"/>
          <w:i/>
          <w:iCs/>
          <w:noProof/>
          <w:sz w:val="24"/>
          <w:szCs w:val="24"/>
        </w:rPr>
        <w:t>Sekolah Tinggi Ilmu Ekonomi KBP</w:t>
      </w:r>
      <w:r w:rsidRPr="00EF58B8">
        <w:rPr>
          <w:rFonts w:ascii="Cambria" w:hAnsi="Cambria" w:cs="Times New Roman"/>
          <w:noProof/>
          <w:sz w:val="24"/>
          <w:szCs w:val="24"/>
        </w:rPr>
        <w:t xml:space="preserve"> (pp. 1–15). osf.io. https://osf.io/jrpcd/download</w:t>
      </w:r>
    </w:p>
    <w:p w14:paraId="16CF3883"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Nurhidayah, V. (2020). Pengaruhgood Corporate Governanceterhadap Kinerjakeuangan Pada Perbankan Di Bei. </w:t>
      </w:r>
      <w:r w:rsidRPr="00EF58B8">
        <w:rPr>
          <w:rFonts w:ascii="Cambria" w:hAnsi="Cambria" w:cs="Times New Roman"/>
          <w:i/>
          <w:iCs/>
          <w:noProof/>
          <w:sz w:val="24"/>
          <w:szCs w:val="24"/>
        </w:rPr>
        <w:t>Jurnal Riset Mahasiswa Akuntansi</w:t>
      </w:r>
      <w:r w:rsidRPr="00EF58B8">
        <w:rPr>
          <w:rFonts w:ascii="Cambria" w:hAnsi="Cambria" w:cs="Times New Roman"/>
          <w:noProof/>
          <w:sz w:val="24"/>
          <w:szCs w:val="24"/>
        </w:rPr>
        <w:t xml:space="preserve">, </w:t>
      </w:r>
      <w:r w:rsidRPr="00EF58B8">
        <w:rPr>
          <w:rFonts w:ascii="Cambria" w:hAnsi="Cambria" w:cs="Times New Roman"/>
          <w:i/>
          <w:iCs/>
          <w:noProof/>
          <w:sz w:val="24"/>
          <w:szCs w:val="24"/>
        </w:rPr>
        <w:t>01</w:t>
      </w:r>
      <w:r w:rsidRPr="00EF58B8">
        <w:rPr>
          <w:rFonts w:ascii="Cambria" w:hAnsi="Cambria" w:cs="Times New Roman"/>
          <w:noProof/>
          <w:sz w:val="24"/>
          <w:szCs w:val="24"/>
        </w:rPr>
        <w:t>(02), 132–142.</w:t>
      </w:r>
    </w:p>
    <w:p w14:paraId="26B7BD8D"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Nurulrahmatiah, N., Pratiwi, A., &amp; Nurhayati. (2020). Coopetition: Jurnal Ilmiah Manajemen Pengaruh Good Corporate Governance dan Kinerja Keuangan Terhadap Harga Saham Perusahaan Sektor Makanan dan Minuman yang Terdaftar di Bursa Efek Indonesia (BEI) Tahun 2011-2018. </w:t>
      </w:r>
      <w:r w:rsidRPr="00EF58B8">
        <w:rPr>
          <w:rFonts w:ascii="Cambria" w:hAnsi="Cambria" w:cs="Times New Roman"/>
          <w:i/>
          <w:iCs/>
          <w:noProof/>
          <w:sz w:val="24"/>
          <w:szCs w:val="24"/>
        </w:rPr>
        <w:t>Coopetition: Jurnal Ilmiah Manajemen</w:t>
      </w:r>
      <w:r w:rsidRPr="00EF58B8">
        <w:rPr>
          <w:rFonts w:ascii="Cambria" w:hAnsi="Cambria" w:cs="Times New Roman"/>
          <w:noProof/>
          <w:sz w:val="24"/>
          <w:szCs w:val="24"/>
        </w:rPr>
        <w:t xml:space="preserve">, </w:t>
      </w:r>
      <w:r w:rsidRPr="00EF58B8">
        <w:rPr>
          <w:rFonts w:ascii="Cambria" w:hAnsi="Cambria" w:cs="Times New Roman"/>
          <w:i/>
          <w:iCs/>
          <w:noProof/>
          <w:sz w:val="24"/>
          <w:szCs w:val="24"/>
        </w:rPr>
        <w:t>X1 NO. 2 j</w:t>
      </w:r>
      <w:r w:rsidRPr="00EF58B8">
        <w:rPr>
          <w:rFonts w:ascii="Cambria" w:hAnsi="Cambria" w:cs="Times New Roman"/>
          <w:noProof/>
          <w:sz w:val="24"/>
          <w:szCs w:val="24"/>
        </w:rPr>
        <w:t>(2), 135–145.</w:t>
      </w:r>
    </w:p>
    <w:p w14:paraId="71EF9A65"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lastRenderedPageBreak/>
        <w:t xml:space="preserve">Rahmadani, O., &amp; Panggabean, R. R. (2021). Pengaruh Intellectual Capital Dan Good Corporate Governance Terhadap Kinerja Keuangan. </w:t>
      </w:r>
      <w:r w:rsidRPr="00EF58B8">
        <w:rPr>
          <w:rFonts w:ascii="Cambria" w:hAnsi="Cambria" w:cs="Times New Roman"/>
          <w:i/>
          <w:iCs/>
          <w:noProof/>
          <w:sz w:val="24"/>
          <w:szCs w:val="24"/>
        </w:rPr>
        <w:t>Modus</w:t>
      </w:r>
      <w:r w:rsidRPr="00EF58B8">
        <w:rPr>
          <w:rFonts w:ascii="Cambria" w:hAnsi="Cambria" w:cs="Times New Roman"/>
          <w:noProof/>
          <w:sz w:val="24"/>
          <w:szCs w:val="24"/>
        </w:rPr>
        <w:t xml:space="preserve">, </w:t>
      </w:r>
      <w:r w:rsidRPr="00EF58B8">
        <w:rPr>
          <w:rFonts w:ascii="Cambria" w:hAnsi="Cambria" w:cs="Times New Roman"/>
          <w:i/>
          <w:iCs/>
          <w:noProof/>
          <w:sz w:val="24"/>
          <w:szCs w:val="24"/>
        </w:rPr>
        <w:t>33</w:t>
      </w:r>
      <w:r w:rsidRPr="00EF58B8">
        <w:rPr>
          <w:rFonts w:ascii="Cambria" w:hAnsi="Cambria" w:cs="Times New Roman"/>
          <w:noProof/>
          <w:sz w:val="24"/>
          <w:szCs w:val="24"/>
        </w:rPr>
        <w:t>(2), 212–233. https://doi.org/10.24002/modus.v33i2.4668</w:t>
      </w:r>
    </w:p>
    <w:p w14:paraId="1002FC2C"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Rahmawati, I., &amp; Kitrianti, P. (2021). Pengaruh Good Corporate Governance Terhadap Kinerja Keuangan Perusahaan Pada Perusahaan Agrikultur Sub Sektor Perkebunan Yang Terdaftar Di Bei Periode Tahun 2015-2019. </w:t>
      </w:r>
      <w:r w:rsidRPr="00EF58B8">
        <w:rPr>
          <w:rFonts w:ascii="Cambria" w:hAnsi="Cambria" w:cs="Times New Roman"/>
          <w:i/>
          <w:iCs/>
          <w:noProof/>
          <w:sz w:val="24"/>
          <w:szCs w:val="24"/>
        </w:rPr>
        <w:t>Progress: Jurnal Pendidikan, Akuntansi Dan Keuangan</w:t>
      </w:r>
      <w:r w:rsidRPr="00EF58B8">
        <w:rPr>
          <w:rFonts w:ascii="Cambria" w:hAnsi="Cambria" w:cs="Times New Roman"/>
          <w:noProof/>
          <w:sz w:val="24"/>
          <w:szCs w:val="24"/>
        </w:rPr>
        <w:t xml:space="preserve">, </w:t>
      </w:r>
      <w:r w:rsidRPr="00EF58B8">
        <w:rPr>
          <w:rFonts w:ascii="Cambria" w:hAnsi="Cambria" w:cs="Times New Roman"/>
          <w:i/>
          <w:iCs/>
          <w:noProof/>
          <w:sz w:val="24"/>
          <w:szCs w:val="24"/>
        </w:rPr>
        <w:t>4</w:t>
      </w:r>
      <w:r w:rsidRPr="00EF58B8">
        <w:rPr>
          <w:rFonts w:ascii="Cambria" w:hAnsi="Cambria" w:cs="Times New Roman"/>
          <w:noProof/>
          <w:sz w:val="24"/>
          <w:szCs w:val="24"/>
        </w:rPr>
        <w:t>(1), 74–86. https://doi.org/10.47080/progress.v4i1.1099</w:t>
      </w:r>
    </w:p>
    <w:p w14:paraId="5D90D19D"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Riswanto, R. (2023). Pengaruh Good Corporate Governance Dan Corporate Social Responsibility Terhadap Kinerja Keuangan. </w:t>
      </w:r>
      <w:r w:rsidRPr="00EF58B8">
        <w:rPr>
          <w:rFonts w:ascii="Cambria" w:hAnsi="Cambria" w:cs="Times New Roman"/>
          <w:i/>
          <w:iCs/>
          <w:noProof/>
          <w:sz w:val="24"/>
          <w:szCs w:val="24"/>
        </w:rPr>
        <w:t>Jurnal Budgeting</w:t>
      </w:r>
      <w:r w:rsidRPr="00EF58B8">
        <w:rPr>
          <w:rFonts w:ascii="Cambria" w:hAnsi="Cambria" w:cs="Times New Roman"/>
          <w:noProof/>
          <w:sz w:val="24"/>
          <w:szCs w:val="24"/>
        </w:rPr>
        <w:t xml:space="preserve">, </w:t>
      </w:r>
      <w:r w:rsidRPr="00EF58B8">
        <w:rPr>
          <w:rFonts w:ascii="Cambria" w:hAnsi="Cambria" w:cs="Times New Roman"/>
          <w:i/>
          <w:iCs/>
          <w:noProof/>
          <w:sz w:val="24"/>
          <w:szCs w:val="24"/>
        </w:rPr>
        <w:t>1</w:t>
      </w:r>
      <w:r w:rsidRPr="00EF58B8">
        <w:rPr>
          <w:rFonts w:ascii="Cambria" w:hAnsi="Cambria" w:cs="Times New Roman"/>
          <w:noProof/>
          <w:sz w:val="24"/>
          <w:szCs w:val="24"/>
        </w:rPr>
        <w:t>(2), 80–92. https://doi.org/10.51510/budgeting.v1i2.476</w:t>
      </w:r>
    </w:p>
    <w:p w14:paraId="17C665A1"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Sakana Qalbi, A., &amp; Hermi, H. (2022). Pengaruh Good Corporate Governance dan Environmental Performance Terhadap Kinerja Keuangan Perusahaan. </w:t>
      </w:r>
      <w:r w:rsidRPr="00EF58B8">
        <w:rPr>
          <w:rFonts w:ascii="Cambria" w:hAnsi="Cambria" w:cs="Times New Roman"/>
          <w:i/>
          <w:iCs/>
          <w:noProof/>
          <w:sz w:val="24"/>
          <w:szCs w:val="24"/>
        </w:rPr>
        <w:t>COMSERVA Indonesian Jurnal of Community Services and Development</w:t>
      </w:r>
      <w:r w:rsidRPr="00EF58B8">
        <w:rPr>
          <w:rFonts w:ascii="Cambria" w:hAnsi="Cambria" w:cs="Times New Roman"/>
          <w:noProof/>
          <w:sz w:val="24"/>
          <w:szCs w:val="24"/>
        </w:rPr>
        <w:t xml:space="preserve">, </w:t>
      </w:r>
      <w:r w:rsidRPr="00EF58B8">
        <w:rPr>
          <w:rFonts w:ascii="Cambria" w:hAnsi="Cambria" w:cs="Times New Roman"/>
          <w:i/>
          <w:iCs/>
          <w:noProof/>
          <w:sz w:val="24"/>
          <w:szCs w:val="24"/>
        </w:rPr>
        <w:t>2</w:t>
      </w:r>
      <w:r w:rsidRPr="00EF58B8">
        <w:rPr>
          <w:rFonts w:ascii="Cambria" w:hAnsi="Cambria" w:cs="Times New Roman"/>
          <w:noProof/>
          <w:sz w:val="24"/>
          <w:szCs w:val="24"/>
        </w:rPr>
        <w:t>(5), 408–419. https://doi.org/10.59141/comserva.v2i5.339</w:t>
      </w:r>
    </w:p>
    <w:p w14:paraId="3135930D"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Sanusi, I. K., Leviany, T., &amp; Handayani, W. (2022). Pengaruh Good Corporate Governance Dan Kinerja Keuangan Terhadap Nilai Perusahaan. </w:t>
      </w:r>
      <w:r w:rsidRPr="00EF58B8">
        <w:rPr>
          <w:rFonts w:ascii="Cambria" w:hAnsi="Cambria" w:cs="Times New Roman"/>
          <w:i/>
          <w:iCs/>
          <w:noProof/>
          <w:sz w:val="24"/>
          <w:szCs w:val="24"/>
        </w:rPr>
        <w:t>Jurnal SIKAP (Sistem Informasi, Keuangan, Auditing Dan Perpajakan)</w:t>
      </w:r>
      <w:r w:rsidRPr="00EF58B8">
        <w:rPr>
          <w:rFonts w:ascii="Cambria" w:hAnsi="Cambria" w:cs="Times New Roman"/>
          <w:noProof/>
          <w:sz w:val="24"/>
          <w:szCs w:val="24"/>
        </w:rPr>
        <w:t xml:space="preserve">, </w:t>
      </w:r>
      <w:r w:rsidRPr="00EF58B8">
        <w:rPr>
          <w:rFonts w:ascii="Cambria" w:hAnsi="Cambria" w:cs="Times New Roman"/>
          <w:i/>
          <w:iCs/>
          <w:noProof/>
          <w:sz w:val="24"/>
          <w:szCs w:val="24"/>
        </w:rPr>
        <w:t>6</w:t>
      </w:r>
      <w:r w:rsidRPr="00EF58B8">
        <w:rPr>
          <w:rFonts w:ascii="Cambria" w:hAnsi="Cambria" w:cs="Times New Roman"/>
          <w:noProof/>
          <w:sz w:val="24"/>
          <w:szCs w:val="24"/>
        </w:rPr>
        <w:t>(2), 238. https://doi.org/10.32897/jsikap.v6i2.2129</w:t>
      </w:r>
    </w:p>
    <w:p w14:paraId="6F573116"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Saputra, V. E., Rita, M. R., &amp; Sakti, I. M. (2022). Efek Mekanisme Good Corporate Governance Terhadap Kinerja Keuangan Melalui Mediasi Manajemen Laba. </w:t>
      </w:r>
      <w:r w:rsidRPr="00EF58B8">
        <w:rPr>
          <w:rFonts w:ascii="Cambria" w:hAnsi="Cambria" w:cs="Times New Roman"/>
          <w:i/>
          <w:iCs/>
          <w:noProof/>
          <w:sz w:val="24"/>
          <w:szCs w:val="24"/>
        </w:rPr>
        <w:t>Modus</w:t>
      </w:r>
      <w:r w:rsidRPr="00EF58B8">
        <w:rPr>
          <w:rFonts w:ascii="Cambria" w:hAnsi="Cambria" w:cs="Times New Roman"/>
          <w:noProof/>
          <w:sz w:val="24"/>
          <w:szCs w:val="24"/>
        </w:rPr>
        <w:t xml:space="preserve">, </w:t>
      </w:r>
      <w:r w:rsidRPr="00EF58B8">
        <w:rPr>
          <w:rFonts w:ascii="Cambria" w:hAnsi="Cambria" w:cs="Times New Roman"/>
          <w:i/>
          <w:iCs/>
          <w:noProof/>
          <w:sz w:val="24"/>
          <w:szCs w:val="24"/>
        </w:rPr>
        <w:t>34</w:t>
      </w:r>
      <w:r w:rsidRPr="00EF58B8">
        <w:rPr>
          <w:rFonts w:ascii="Cambria" w:hAnsi="Cambria" w:cs="Times New Roman"/>
          <w:noProof/>
          <w:sz w:val="24"/>
          <w:szCs w:val="24"/>
        </w:rPr>
        <w:t>(1), 1–23. https://doi.org/10.24002/modus.v34i1.5000</w:t>
      </w:r>
    </w:p>
    <w:p w14:paraId="7F031140"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Terzaghi, M. T., &amp; Ikhsan, R. (2022). Pengaruh Good Corporate Governance dan Corporate Social Responsibility Terhadap Kinerja Keuangan Perbankan yang Terdaftar di BEI. </w:t>
      </w:r>
      <w:r w:rsidRPr="00EF58B8">
        <w:rPr>
          <w:rFonts w:ascii="Cambria" w:hAnsi="Cambria" w:cs="Times New Roman"/>
          <w:i/>
          <w:iCs/>
          <w:noProof/>
          <w:sz w:val="24"/>
          <w:szCs w:val="24"/>
        </w:rPr>
        <w:t>Jurnal Bisnis, Manajemen, Dan Ekonomi</w:t>
      </w:r>
      <w:r w:rsidRPr="00EF58B8">
        <w:rPr>
          <w:rFonts w:ascii="Cambria" w:hAnsi="Cambria" w:cs="Times New Roman"/>
          <w:noProof/>
          <w:sz w:val="24"/>
          <w:szCs w:val="24"/>
        </w:rPr>
        <w:t xml:space="preserve">, </w:t>
      </w:r>
      <w:r w:rsidRPr="00EF58B8">
        <w:rPr>
          <w:rFonts w:ascii="Cambria" w:hAnsi="Cambria" w:cs="Times New Roman"/>
          <w:i/>
          <w:iCs/>
          <w:noProof/>
          <w:sz w:val="24"/>
          <w:szCs w:val="24"/>
        </w:rPr>
        <w:t>3</w:t>
      </w:r>
      <w:r w:rsidRPr="00EF58B8">
        <w:rPr>
          <w:rFonts w:ascii="Cambria" w:hAnsi="Cambria" w:cs="Times New Roman"/>
          <w:noProof/>
          <w:sz w:val="24"/>
          <w:szCs w:val="24"/>
        </w:rPr>
        <w:t>(4), 181–195. https://doi.org/10.47747/jbme.v3i4.834</w:t>
      </w:r>
    </w:p>
    <w:p w14:paraId="33B9B29F"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Titania, H., &amp; Taqwa, S. (2023). Pengaruh Good Corporate Governance terhadap Kinerja Keuangan Perusahaan. In </w:t>
      </w:r>
      <w:r w:rsidRPr="00EF58B8">
        <w:rPr>
          <w:rFonts w:ascii="Cambria" w:hAnsi="Cambria" w:cs="Times New Roman"/>
          <w:i/>
          <w:iCs/>
          <w:noProof/>
          <w:sz w:val="24"/>
          <w:szCs w:val="24"/>
        </w:rPr>
        <w:t>Jurnal Eksplorasi Akuntansi</w:t>
      </w:r>
      <w:r w:rsidRPr="00EF58B8">
        <w:rPr>
          <w:rFonts w:ascii="Cambria" w:hAnsi="Cambria" w:cs="Times New Roman"/>
          <w:noProof/>
          <w:sz w:val="24"/>
          <w:szCs w:val="24"/>
        </w:rPr>
        <w:t xml:space="preserve"> (Vol. 5, Issue 3, pp. 1224–1238). https://doi.org/10.24036/jea.v5i3.795</w:t>
      </w:r>
    </w:p>
    <w:p w14:paraId="760646AA"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Triandini, E., Jayanatha, S., Indrawan, A., Putra, G. W., &amp; Iswara, B. (2019). </w:t>
      </w:r>
      <w:r w:rsidRPr="00EF58B8">
        <w:rPr>
          <w:rFonts w:ascii="Cambria" w:hAnsi="Cambria" w:cs="Times New Roman"/>
          <w:i/>
          <w:iCs/>
          <w:noProof/>
          <w:sz w:val="24"/>
          <w:szCs w:val="24"/>
        </w:rPr>
        <w:t>Metode Systematic Literature Review untuk Identifikasi Platform dan Metode Pengembangan Sistem Informasi di Indonesia</w:t>
      </w:r>
      <w:r w:rsidRPr="00EF58B8">
        <w:rPr>
          <w:rFonts w:ascii="Cambria" w:hAnsi="Cambria" w:cs="Times New Roman"/>
          <w:noProof/>
          <w:sz w:val="24"/>
          <w:szCs w:val="24"/>
        </w:rPr>
        <w:t xml:space="preserve">. </w:t>
      </w:r>
      <w:r w:rsidRPr="00EF58B8">
        <w:rPr>
          <w:rFonts w:ascii="Cambria" w:hAnsi="Cambria" w:cs="Times New Roman"/>
          <w:i/>
          <w:iCs/>
          <w:noProof/>
          <w:sz w:val="24"/>
          <w:szCs w:val="24"/>
        </w:rPr>
        <w:t>1</w:t>
      </w:r>
      <w:r w:rsidRPr="00EF58B8">
        <w:rPr>
          <w:rFonts w:ascii="Cambria" w:hAnsi="Cambria" w:cs="Times New Roman"/>
          <w:noProof/>
          <w:sz w:val="24"/>
          <w:szCs w:val="24"/>
        </w:rPr>
        <w:t>(2).</w:t>
      </w:r>
    </w:p>
    <w:p w14:paraId="69D1DDD8"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Ulfa, M., &amp; Citradewi, A. (2023). Peran Good Corporate Governance dalam Memoderasi Faktor-Faktor yang Mempengaruhi Kinerja Keuangan. </w:t>
      </w:r>
      <w:r w:rsidRPr="00EF58B8">
        <w:rPr>
          <w:rFonts w:ascii="Cambria" w:hAnsi="Cambria" w:cs="Times New Roman"/>
          <w:i/>
          <w:iCs/>
          <w:noProof/>
          <w:sz w:val="24"/>
          <w:szCs w:val="24"/>
        </w:rPr>
        <w:t>Jurnal Riset Akuntansi</w:t>
      </w:r>
      <w:r w:rsidRPr="00EF58B8">
        <w:rPr>
          <w:rFonts w:ascii="Cambria" w:hAnsi="Cambria" w:cs="Times New Roman"/>
          <w:noProof/>
          <w:sz w:val="24"/>
          <w:szCs w:val="24"/>
        </w:rPr>
        <w:t xml:space="preserve">, </w:t>
      </w:r>
      <w:r w:rsidRPr="00EF58B8">
        <w:rPr>
          <w:rFonts w:ascii="Cambria" w:hAnsi="Cambria" w:cs="Times New Roman"/>
          <w:i/>
          <w:iCs/>
          <w:noProof/>
          <w:sz w:val="24"/>
          <w:szCs w:val="24"/>
        </w:rPr>
        <w:t>13</w:t>
      </w:r>
      <w:r w:rsidRPr="00EF58B8">
        <w:rPr>
          <w:rFonts w:ascii="Cambria" w:hAnsi="Cambria" w:cs="Times New Roman"/>
          <w:noProof/>
          <w:sz w:val="24"/>
          <w:szCs w:val="24"/>
        </w:rPr>
        <w:t>(2), 237–256. https://e-journal.unmas.ac.id/index.php/juara/article/view/6879</w:t>
      </w:r>
    </w:p>
    <w:p w14:paraId="33388B80"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EF58B8">
        <w:rPr>
          <w:rFonts w:ascii="Cambria" w:hAnsi="Cambria" w:cs="Times New Roman"/>
          <w:noProof/>
          <w:sz w:val="24"/>
          <w:szCs w:val="24"/>
        </w:rPr>
        <w:t xml:space="preserve">Utama, B. P., Sastrodiharjo, I., &amp; Mukti, A. H. (2023). Pengaruh Mekanisme Tata Kelola Perusahaan terhadap Kinerja Keuangan Perusahaan: Studi Empiris pada Perusahaan Non Consumer Cyclicals yang Terdaftar di Bursa Efek Indonesia Periode 2019-2021. </w:t>
      </w:r>
      <w:r w:rsidRPr="00EF58B8">
        <w:rPr>
          <w:rFonts w:ascii="Cambria" w:hAnsi="Cambria" w:cs="Times New Roman"/>
          <w:i/>
          <w:iCs/>
          <w:noProof/>
          <w:sz w:val="24"/>
          <w:szCs w:val="24"/>
        </w:rPr>
        <w:t>Jurnal Akuntansi, Keuangan, Dan Manajemen</w:t>
      </w:r>
      <w:r w:rsidRPr="00EF58B8">
        <w:rPr>
          <w:rFonts w:ascii="Cambria" w:hAnsi="Cambria" w:cs="Times New Roman"/>
          <w:noProof/>
          <w:sz w:val="24"/>
          <w:szCs w:val="24"/>
        </w:rPr>
        <w:t xml:space="preserve">, </w:t>
      </w:r>
      <w:r w:rsidRPr="00EF58B8">
        <w:rPr>
          <w:rFonts w:ascii="Cambria" w:hAnsi="Cambria" w:cs="Times New Roman"/>
          <w:i/>
          <w:iCs/>
          <w:noProof/>
          <w:sz w:val="24"/>
          <w:szCs w:val="24"/>
        </w:rPr>
        <w:t>4</w:t>
      </w:r>
      <w:r w:rsidRPr="00EF58B8">
        <w:rPr>
          <w:rFonts w:ascii="Cambria" w:hAnsi="Cambria" w:cs="Times New Roman"/>
          <w:noProof/>
          <w:sz w:val="24"/>
          <w:szCs w:val="24"/>
        </w:rPr>
        <w:t>(4), 249–261. https://doi.org/10.35912/jakman.v4i4.2305</w:t>
      </w:r>
    </w:p>
    <w:p w14:paraId="1B4C73C9" w14:textId="77777777" w:rsidR="00EF58B8" w:rsidRPr="00EF58B8" w:rsidRDefault="00EF58B8" w:rsidP="00EF58B8">
      <w:pPr>
        <w:widowControl w:val="0"/>
        <w:autoSpaceDE w:val="0"/>
        <w:autoSpaceDN w:val="0"/>
        <w:adjustRightInd w:val="0"/>
        <w:spacing w:after="0" w:line="240" w:lineRule="auto"/>
        <w:ind w:left="480" w:hanging="480"/>
        <w:jc w:val="both"/>
        <w:rPr>
          <w:rFonts w:ascii="Cambria" w:hAnsi="Cambria"/>
          <w:noProof/>
          <w:sz w:val="24"/>
        </w:rPr>
      </w:pPr>
      <w:r w:rsidRPr="00EF58B8">
        <w:rPr>
          <w:rFonts w:ascii="Cambria" w:hAnsi="Cambria" w:cs="Times New Roman"/>
          <w:noProof/>
          <w:sz w:val="24"/>
          <w:szCs w:val="24"/>
        </w:rPr>
        <w:t xml:space="preserve">Wijaya, R. (2019). Analisis Perkembangan Return On Assets (ROA) dan Return On Equity (ROE) untuk Mengukur Kinerja Keuangan. </w:t>
      </w:r>
      <w:r w:rsidRPr="00EF58B8">
        <w:rPr>
          <w:rFonts w:ascii="Cambria" w:hAnsi="Cambria" w:cs="Times New Roman"/>
          <w:i/>
          <w:iCs/>
          <w:noProof/>
          <w:sz w:val="24"/>
          <w:szCs w:val="24"/>
        </w:rPr>
        <w:t>Jurnal Ilmu Manajemen</w:t>
      </w:r>
      <w:r w:rsidRPr="00EF58B8">
        <w:rPr>
          <w:rFonts w:ascii="Cambria" w:hAnsi="Cambria" w:cs="Times New Roman"/>
          <w:noProof/>
          <w:sz w:val="24"/>
          <w:szCs w:val="24"/>
        </w:rPr>
        <w:t xml:space="preserve">, </w:t>
      </w:r>
      <w:r w:rsidRPr="00EF58B8">
        <w:rPr>
          <w:rFonts w:ascii="Cambria" w:hAnsi="Cambria" w:cs="Times New Roman"/>
          <w:i/>
          <w:iCs/>
          <w:noProof/>
          <w:sz w:val="24"/>
          <w:szCs w:val="24"/>
        </w:rPr>
        <w:t>9</w:t>
      </w:r>
      <w:r w:rsidRPr="00EF58B8">
        <w:rPr>
          <w:rFonts w:ascii="Cambria" w:hAnsi="Cambria" w:cs="Times New Roman"/>
          <w:noProof/>
          <w:sz w:val="24"/>
          <w:szCs w:val="24"/>
        </w:rPr>
        <w:t>(1), 40. https://doi.org/10.32502/jimn.v9i1.2115</w:t>
      </w:r>
    </w:p>
    <w:p w14:paraId="4AF73EDC" w14:textId="6C4F1360" w:rsidR="00C338F0" w:rsidRDefault="00EF58B8" w:rsidP="00EF58B8">
      <w:pPr>
        <w:widowControl w:val="0"/>
        <w:spacing w:after="0" w:line="240"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p>
    <w:p w14:paraId="3251932D" w14:textId="77777777" w:rsidR="00CD78D3" w:rsidRDefault="00CD78D3" w:rsidP="00EF58B8">
      <w:pPr>
        <w:widowControl w:val="0"/>
        <w:spacing w:after="0" w:line="240" w:lineRule="auto"/>
        <w:ind w:left="480" w:hanging="480"/>
        <w:jc w:val="both"/>
        <w:rPr>
          <w:rFonts w:ascii="Cambria" w:eastAsia="Cambria" w:hAnsi="Cambria" w:cs="Cambria"/>
          <w:sz w:val="24"/>
          <w:szCs w:val="24"/>
        </w:rPr>
      </w:pPr>
    </w:p>
    <w:p w14:paraId="3EF74CE8" w14:textId="77777777" w:rsidR="00CD78D3" w:rsidRDefault="00CD78D3" w:rsidP="00EF58B8">
      <w:pPr>
        <w:widowControl w:val="0"/>
        <w:spacing w:after="0" w:line="240" w:lineRule="auto"/>
        <w:ind w:left="480" w:hanging="480"/>
        <w:jc w:val="both"/>
        <w:rPr>
          <w:rFonts w:ascii="Cambria" w:eastAsia="Cambria" w:hAnsi="Cambria" w:cs="Cambria"/>
          <w:sz w:val="24"/>
          <w:szCs w:val="24"/>
        </w:rPr>
      </w:pPr>
    </w:p>
    <w:p w14:paraId="455A7A73" w14:textId="77777777" w:rsidR="00CD78D3" w:rsidRDefault="00CD78D3" w:rsidP="00EF58B8">
      <w:pPr>
        <w:widowControl w:val="0"/>
        <w:spacing w:after="0" w:line="240" w:lineRule="auto"/>
        <w:ind w:left="480" w:hanging="480"/>
        <w:jc w:val="both"/>
        <w:rPr>
          <w:rFonts w:ascii="Cambria" w:eastAsia="Cambria" w:hAnsi="Cambria" w:cs="Cambria"/>
          <w:sz w:val="24"/>
          <w:szCs w:val="24"/>
        </w:rPr>
      </w:pPr>
    </w:p>
    <w:p w14:paraId="320CACEB" w14:textId="77777777" w:rsidR="00CD78D3" w:rsidRDefault="00CD78D3">
      <w:pPr>
        <w:widowControl w:val="0"/>
        <w:spacing w:after="0" w:line="240" w:lineRule="auto"/>
        <w:ind w:left="480" w:hanging="480"/>
        <w:jc w:val="both"/>
        <w:rPr>
          <w:rFonts w:ascii="Cambria" w:eastAsia="Cambria" w:hAnsi="Cambria" w:cs="Cambria"/>
          <w:sz w:val="24"/>
          <w:szCs w:val="24"/>
        </w:rPr>
      </w:pPr>
    </w:p>
    <w:p w14:paraId="51A62A56" w14:textId="46F018FA" w:rsidR="00CD78D3" w:rsidRDefault="00CD78D3">
      <w:pPr>
        <w:widowControl w:val="0"/>
        <w:spacing w:after="0" w:line="240" w:lineRule="auto"/>
        <w:ind w:left="480" w:hanging="480"/>
        <w:jc w:val="both"/>
        <w:rPr>
          <w:rFonts w:ascii="Cambria" w:eastAsia="Cambria" w:hAnsi="Cambria" w:cs="Cambria"/>
          <w:sz w:val="24"/>
          <w:szCs w:val="24"/>
        </w:rPr>
      </w:pPr>
    </w:p>
    <w:sectPr w:rsidR="00CD78D3">
      <w:footerReference w:type="even" r:id="rId14"/>
      <w:footerReference w:type="default" r:id="rId15"/>
      <w:headerReference w:type="first" r:id="rId16"/>
      <w:footerReference w:type="first" r:id="rId17"/>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9C00D" w14:textId="77777777" w:rsidR="00445DDE" w:rsidRDefault="00445DDE">
      <w:pPr>
        <w:spacing w:after="0" w:line="240" w:lineRule="auto"/>
      </w:pPr>
      <w:r>
        <w:separator/>
      </w:r>
    </w:p>
  </w:endnote>
  <w:endnote w:type="continuationSeparator" w:id="0">
    <w:p w14:paraId="14503144" w14:textId="77777777" w:rsidR="00445DDE" w:rsidRDefault="0044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D665B" w14:textId="77777777" w:rsidR="00445DDE" w:rsidRDefault="00445DDE">
      <w:pPr>
        <w:spacing w:after="0" w:line="240" w:lineRule="auto"/>
      </w:pPr>
      <w:r>
        <w:separator/>
      </w:r>
    </w:p>
  </w:footnote>
  <w:footnote w:type="continuationSeparator" w:id="0">
    <w:p w14:paraId="58C996BC" w14:textId="77777777" w:rsidR="00445DDE" w:rsidRDefault="00445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CD78D3" w:rsidRPr="00CD78D3" w:rsidRDefault="00000000"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893834"/>
    <w:multiLevelType w:val="hybridMultilevel"/>
    <w:tmpl w:val="43C2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B539E"/>
    <w:multiLevelType w:val="hybridMultilevel"/>
    <w:tmpl w:val="A8AAF4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713E0F"/>
    <w:multiLevelType w:val="hybridMultilevel"/>
    <w:tmpl w:val="961E7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127639">
    <w:abstractNumId w:val="2"/>
  </w:num>
  <w:num w:numId="2" w16cid:durableId="1675263334">
    <w:abstractNumId w:val="1"/>
  </w:num>
  <w:num w:numId="3" w16cid:durableId="1757241512">
    <w:abstractNumId w:val="0"/>
  </w:num>
  <w:num w:numId="4" w16cid:durableId="1550414620">
    <w:abstractNumId w:val="4"/>
  </w:num>
  <w:num w:numId="5" w16cid:durableId="876703058">
    <w:abstractNumId w:val="3"/>
  </w:num>
  <w:num w:numId="6" w16cid:durableId="1780372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404F"/>
    <w:rsid w:val="00136528"/>
    <w:rsid w:val="00223A56"/>
    <w:rsid w:val="00276B47"/>
    <w:rsid w:val="00277F66"/>
    <w:rsid w:val="002C3566"/>
    <w:rsid w:val="00403C52"/>
    <w:rsid w:val="00445DDE"/>
    <w:rsid w:val="004613C7"/>
    <w:rsid w:val="00497A00"/>
    <w:rsid w:val="004E08B9"/>
    <w:rsid w:val="004F5C49"/>
    <w:rsid w:val="006A104B"/>
    <w:rsid w:val="006A1FE1"/>
    <w:rsid w:val="00727507"/>
    <w:rsid w:val="008D49B9"/>
    <w:rsid w:val="0099304C"/>
    <w:rsid w:val="00A27BA3"/>
    <w:rsid w:val="00AB2D34"/>
    <w:rsid w:val="00C338F0"/>
    <w:rsid w:val="00CD78D3"/>
    <w:rsid w:val="00D80D8A"/>
    <w:rsid w:val="00EF58B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customStyle="1" w:styleId="SAP-Paragraph">
    <w:name w:val="SAP-Paragraph"/>
    <w:link w:val="SAP-ParagraphChar"/>
    <w:rsid w:val="004613C7"/>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4613C7"/>
    <w:rPr>
      <w:rFonts w:ascii="Times New Roman" w:eastAsia="Times New Roma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4421/EkBis.2022.6.1.1555"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ilahmaghfirah6@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7EDE29-2C88-4A88-A021-E2AB8A57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17091</Words>
  <Characters>97420</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Nailah Maghfirah</cp:lastModifiedBy>
  <cp:revision>6</cp:revision>
  <dcterms:created xsi:type="dcterms:W3CDTF">2024-05-17T15:22:00Z</dcterms:created>
  <dcterms:modified xsi:type="dcterms:W3CDTF">2024-05-22T05:37:00Z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Unique User Id_1">
    <vt:lpwstr>96b6bd66-0a9f-333d-90ea-cc344c82d457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