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559F2" w14:textId="4DECDB35" w:rsidR="008D3DE9" w:rsidRDefault="008D3DE9"/>
    <w:p w14:paraId="14087E12" w14:textId="77777777" w:rsidR="00A27BA3" w:rsidRDefault="00DA6B6F">
      <w:pPr>
        <w:spacing w:after="60" w:line="240" w:lineRule="auto"/>
        <w:rPr>
          <w:rFonts w:ascii="Cambria" w:eastAsia="Cambria" w:hAnsi="Cambria" w:cs="Cambria"/>
          <w:i/>
        </w:rPr>
      </w:pPr>
      <w:r>
        <w:rPr>
          <w:noProof/>
          <w:lang w:eastAsia="en-US"/>
        </w:rPr>
        <mc:AlternateContent>
          <mc:Choice Requires="wps">
            <w:drawing>
              <wp:anchor distT="0" distB="0" distL="114300" distR="114300" simplePos="0" relativeHeight="251657216" behindDoc="0" locked="0" layoutInCell="1" hidden="0" allowOverlap="1" wp14:anchorId="55B08ADF" wp14:editId="70CC6187">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7D55A1" id="_x0000_t32" coordsize="21600,21600" o:spt="32" o:oned="t" path="m,l21600,21600e" filled="f">
                <v:path arrowok="t" fillok="f" o:connecttype="none"/>
                <o:lock v:ext="edit" shapetype="t"/>
              </v:shapetype>
              <v:shape id="Straight Arrow Connector 35" o:spid="_x0000_s1026" type="#_x0000_t32" style="position:absolute;margin-left:0;margin-top:2pt;width:401.7pt;height:1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" strokecolor="#6d0303">
                <v:stroke startarrowwidth="narrow" startarrowlength="short" endarrowwidth="narrow" endarrowlength="short" joinstyle="miter"/>
              </v:shape>
            </w:pict>
          </mc:Fallback>
        </mc:AlternateContent>
      </w:r>
    </w:p>
    <w:p w14:paraId="24D93442" w14:textId="69E0F5F8" w:rsidR="00A27BA3" w:rsidRPr="00CD78D3" w:rsidRDefault="00DE0542" w:rsidP="00DE0542">
      <w:pPr>
        <w:tabs>
          <w:tab w:val="left" w:pos="8078"/>
        </w:tabs>
        <w:spacing w:after="60" w:line="240" w:lineRule="auto"/>
        <w:rPr>
          <w:rFonts w:ascii="Cambria" w:eastAsia="Cambria" w:hAnsi="Cambria" w:cs="Cambria"/>
          <w:b/>
          <w:sz w:val="40"/>
          <w:szCs w:val="40"/>
        </w:rPr>
      </w:pPr>
      <w:bookmarkStart w:id="0" w:name="_heading=h.gjdgxs" w:colFirst="0" w:colLast="0"/>
      <w:bookmarkEnd w:id="0"/>
      <w:r w:rsidRPr="00DE0542">
        <w:rPr>
          <w:rFonts w:ascii="Cambria" w:eastAsia="Cambria" w:hAnsi="Cambria" w:cs="Cambria"/>
          <w:b/>
          <w:sz w:val="40"/>
          <w:szCs w:val="40"/>
        </w:rPr>
        <w:t>Pengaruh sosialisasi, pengetahuan, dan kepercayaan terhadap minat Maha</w:t>
      </w:r>
      <w:r w:rsidR="0097372A">
        <w:rPr>
          <w:rFonts w:ascii="Cambria" w:eastAsia="Cambria" w:hAnsi="Cambria" w:cs="Cambria"/>
          <w:b/>
          <w:sz w:val="40"/>
          <w:szCs w:val="40"/>
        </w:rPr>
        <w:t>siswa</w:t>
      </w:r>
      <w:r w:rsidRPr="00DE0542">
        <w:rPr>
          <w:rFonts w:ascii="Cambria" w:eastAsia="Cambria" w:hAnsi="Cambria" w:cs="Cambria"/>
          <w:b/>
          <w:sz w:val="40"/>
          <w:szCs w:val="40"/>
        </w:rPr>
        <w:t xml:space="preserve"> FAI pada Bank Bsi cabang Medan</w:t>
      </w:r>
    </w:p>
    <w:p w14:paraId="3BB698E6" w14:textId="79EDFE1B" w:rsidR="00A27BA3" w:rsidRDefault="00DA6B6F" w:rsidP="00AF4EBA">
      <w:pPr>
        <w:spacing w:after="60" w:line="240" w:lineRule="auto"/>
        <w:rPr>
          <w:rFonts w:ascii="Cambria" w:eastAsia="Cambria" w:hAnsi="Cambria" w:cs="Cambria"/>
          <w:sz w:val="28"/>
          <w:szCs w:val="28"/>
        </w:rPr>
      </w:pPr>
      <w:r>
        <w:rPr>
          <w:rFonts w:ascii="Cambria" w:eastAsia="Cambria" w:hAnsi="Cambria" w:cs="Cambria"/>
          <w:sz w:val="28"/>
          <w:szCs w:val="28"/>
          <w:vertAlign w:val="superscript"/>
        </w:rPr>
        <w:t>1</w:t>
      </w:r>
      <w:r w:rsidR="00AF4EBA">
        <w:rPr>
          <w:rFonts w:ascii="Cambria" w:eastAsia="Cambria" w:hAnsi="Cambria" w:cs="Cambria"/>
          <w:sz w:val="28"/>
          <w:szCs w:val="28"/>
        </w:rPr>
        <w:t xml:space="preserve">Filyana Sabhina, </w:t>
      </w:r>
      <w:r w:rsidR="00AF4EBA">
        <w:rPr>
          <w:rFonts w:ascii="Cambria" w:eastAsia="Cambria" w:hAnsi="Cambria" w:cs="Cambria"/>
          <w:sz w:val="28"/>
          <w:szCs w:val="28"/>
          <w:vertAlign w:val="superscript"/>
        </w:rPr>
        <w:t>2</w:t>
      </w:r>
      <w:r w:rsidR="00AF4EBA">
        <w:rPr>
          <w:rFonts w:ascii="Cambria" w:eastAsia="Cambria" w:hAnsi="Cambria" w:cs="Cambria"/>
          <w:noProof/>
          <w:sz w:val="28"/>
          <w:szCs w:val="28"/>
          <w:lang w:eastAsia="en-US"/>
        </w:rPr>
        <w:t xml:space="preserve">Suci Rosmadewi, </w:t>
      </w:r>
      <w:r w:rsidR="00AF4EBA">
        <w:rPr>
          <w:rFonts w:ascii="Cambria" w:eastAsia="Cambria" w:hAnsi="Cambria" w:cs="Cambria"/>
          <w:noProof/>
          <w:sz w:val="28"/>
          <w:szCs w:val="28"/>
          <w:vertAlign w:val="superscript"/>
          <w:lang w:eastAsia="en-US"/>
        </w:rPr>
        <w:t xml:space="preserve">3 </w:t>
      </w:r>
      <w:r w:rsidR="00AF4EBA">
        <w:rPr>
          <w:rFonts w:ascii="Cambria" w:eastAsia="Cambria" w:hAnsi="Cambria" w:cs="Cambria"/>
          <w:sz w:val="28"/>
          <w:szCs w:val="28"/>
        </w:rPr>
        <w:t xml:space="preserve">Anggi Mega Utama, </w:t>
      </w:r>
      <w:r w:rsidR="00AF4EBA">
        <w:rPr>
          <w:rFonts w:ascii="Cambria" w:eastAsia="Cambria" w:hAnsi="Cambria" w:cs="Cambria"/>
          <w:sz w:val="28"/>
          <w:szCs w:val="28"/>
          <w:vertAlign w:val="superscript"/>
        </w:rPr>
        <w:t xml:space="preserve">4 </w:t>
      </w:r>
      <w:r w:rsidR="00AF4EBA">
        <w:rPr>
          <w:rFonts w:ascii="Cambria" w:eastAsia="Cambria" w:hAnsi="Cambria" w:cs="Cambria"/>
          <w:sz w:val="28"/>
          <w:szCs w:val="28"/>
        </w:rPr>
        <w:t xml:space="preserve">Vinia Asyobri Sinaga </w:t>
      </w:r>
    </w:p>
    <w:p w14:paraId="67148FFC" w14:textId="77777777" w:rsidR="00A27BA3" w:rsidRDefault="00A27BA3">
      <w:pPr>
        <w:spacing w:after="60" w:line="240" w:lineRule="auto"/>
        <w:rPr>
          <w:rFonts w:ascii="Cambria" w:eastAsia="Cambria" w:hAnsi="Cambria" w:cs="Cambria"/>
          <w:sz w:val="10"/>
          <w:szCs w:val="10"/>
          <w:vertAlign w:val="superscript"/>
        </w:rPr>
      </w:pPr>
    </w:p>
    <w:p w14:paraId="1AE4ADFC" w14:textId="3B3F4F6F" w:rsidR="00A27BA3" w:rsidRDefault="00DA6B6F" w:rsidP="00AF4EBA">
      <w:pPr>
        <w:spacing w:after="0" w:line="240" w:lineRule="auto"/>
        <w:rPr>
          <w:rFonts w:ascii="Cambria" w:eastAsia="Cambria" w:hAnsi="Cambria" w:cs="Cambria"/>
        </w:rPr>
      </w:pPr>
      <w:r>
        <w:rPr>
          <w:rFonts w:ascii="Cambria" w:eastAsia="Cambria" w:hAnsi="Cambria" w:cs="Cambria"/>
          <w:sz w:val="28"/>
          <w:szCs w:val="28"/>
          <w:vertAlign w:val="superscript"/>
        </w:rPr>
        <w:t>1</w:t>
      </w:r>
      <w:r>
        <w:rPr>
          <w:rFonts w:ascii="Cambria" w:eastAsia="Cambria" w:hAnsi="Cambria" w:cs="Cambria"/>
        </w:rPr>
        <w:t xml:space="preserve">Universitas </w:t>
      </w:r>
      <w:r w:rsidR="00AF4EBA">
        <w:rPr>
          <w:rFonts w:ascii="Cambria" w:eastAsia="Cambria" w:hAnsi="Cambria" w:cs="Cambria"/>
        </w:rPr>
        <w:t>Muhammadiyyah Sumatera Utara</w:t>
      </w:r>
      <w:r>
        <w:rPr>
          <w:rFonts w:ascii="Cambria" w:eastAsia="Cambria" w:hAnsi="Cambria" w:cs="Cambria"/>
        </w:rPr>
        <w:t xml:space="preserve">, </w:t>
      </w:r>
      <w:r w:rsidR="00AF4EBA">
        <w:rPr>
          <w:rFonts w:ascii="Cambria" w:eastAsia="Cambria" w:hAnsi="Cambria" w:cs="Cambria"/>
        </w:rPr>
        <w:t>Medan</w:t>
      </w:r>
      <w:r>
        <w:rPr>
          <w:rFonts w:ascii="Cambria" w:eastAsia="Cambria" w:hAnsi="Cambria" w:cs="Cambria"/>
        </w:rPr>
        <w:t>, Indonesia</w:t>
      </w:r>
    </w:p>
    <w:p w14:paraId="29CA25A1" w14:textId="4F7CB53F" w:rsidR="00A27BA3" w:rsidRDefault="00AF4EBA">
      <w:pPr>
        <w:spacing w:after="60" w:line="240" w:lineRule="auto"/>
        <w:rPr>
          <w:rFonts w:ascii="Cambria" w:eastAsia="Cambria" w:hAnsi="Cambria" w:cs="Cambria"/>
        </w:rPr>
      </w:pPr>
      <w:r>
        <w:rPr>
          <w:rFonts w:ascii="Cambria" w:eastAsia="Cambria" w:hAnsi="Cambria" w:cs="Cambria"/>
        </w:rPr>
        <w:t>@filyanasabhina@gmail.com</w:t>
      </w:r>
    </w:p>
    <w:p w14:paraId="2F4ABB44" w14:textId="77777777" w:rsidR="00A27BA3" w:rsidRDefault="00A27BA3">
      <w:pPr>
        <w:spacing w:after="60" w:line="240" w:lineRule="auto"/>
        <w:rPr>
          <w:rFonts w:ascii="Cambria" w:eastAsia="Cambria" w:hAnsi="Cambria" w:cs="Cambria"/>
          <w:b/>
          <w:sz w:val="28"/>
          <w:szCs w:val="28"/>
        </w:rPr>
      </w:pPr>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9498"/>
      </w:tblGrid>
      <w:tr w:rsidR="00AF4EBA" w14:paraId="0D9CB1F7" w14:textId="77777777" w:rsidTr="003F62DC">
        <w:tc>
          <w:tcPr>
            <w:tcW w:w="6663" w:type="dxa"/>
          </w:tcPr>
          <w:p w14:paraId="7FDAF2AC" w14:textId="77777777" w:rsidR="00AF4EBA" w:rsidRDefault="00AF4EBA" w:rsidP="003F62DC">
            <w:pPr>
              <w:spacing w:before="120"/>
              <w:rPr>
                <w:rFonts w:ascii="Cambria" w:eastAsia="Cambria" w:hAnsi="Cambria" w:cs="Cambria"/>
                <w:b/>
                <w:sz w:val="24"/>
                <w:szCs w:val="24"/>
              </w:rPr>
            </w:pPr>
            <w:r>
              <w:rPr>
                <w:rFonts w:ascii="Cambria" w:eastAsia="Cambria" w:hAnsi="Cambria" w:cs="Cambria"/>
                <w:b/>
                <w:sz w:val="24"/>
                <w:szCs w:val="24"/>
              </w:rPr>
              <w:t>ABSTRAK</w:t>
            </w:r>
          </w:p>
        </w:tc>
      </w:tr>
      <w:tr w:rsidR="00AF4EBA" w14:paraId="2705ABA9" w14:textId="77777777" w:rsidTr="003F62DC">
        <w:tc>
          <w:tcPr>
            <w:tcW w:w="6663" w:type="dxa"/>
          </w:tcPr>
          <w:p w14:paraId="4F63FF69" w14:textId="77777777" w:rsidR="00AF4EBA" w:rsidRDefault="00AF4EBA" w:rsidP="003F62DC">
            <w:pPr>
              <w:spacing w:before="60" w:after="120"/>
              <w:ind w:left="40"/>
              <w:jc w:val="both"/>
              <w:rPr>
                <w:rFonts w:ascii="Cambria" w:eastAsia="Cambria" w:hAnsi="Cambria" w:cs="Cambria"/>
              </w:rPr>
            </w:pPr>
            <w:r>
              <w:rPr>
                <w:rFonts w:ascii="Cambria" w:eastAsia="Cambria" w:hAnsi="Cambria" w:cs="Cambria"/>
              </w:rPr>
              <w:t>Peneliti menyelidiki model penyampaian instruksional di mana program sarjana dan pascasarjana kami diatur sedemikian rupa sehingga mahasiswa memiliki kesempatan untuk kontak sehari-hari dengan satu sama lain karena kurangnya keterlibatan mahasiswa dalam format yang berpusat pada perkuliahan. Kami melihat secara khusus bagaimana mahasiswa memandang pentingnya kontak sosial dalam pembelajaran mereka dengan meminta mereka melaporkan pengalaman kelas mereka pada akhir setiap jam pelajaran. Karakter yang sangat partisipatif dari setiap kursus menyebabkan pemilihan tiga kursus persiapan Dosen keaksaraan selama sesi musim panas untuk penelitian ini. Tujuan penelitian ini bukan untuk mengungkap perbedaan antara berbagai mode pendidikan, melainkan untuk menilai kesan mahasiswa pada Bank BSI tentang dampak kontak sosial di kelas kami pada pembelajaran mereka.</w:t>
            </w:r>
          </w:p>
          <w:p w14:paraId="4A4A3F34" w14:textId="77777777" w:rsidR="00AF4EBA" w:rsidRDefault="00AF4EBA" w:rsidP="003F62DC">
            <w:pPr>
              <w:spacing w:before="120" w:after="120"/>
              <w:ind w:left="40"/>
              <w:jc w:val="both"/>
              <w:rPr>
                <w:rFonts w:ascii="Cambria" w:eastAsia="Cambria" w:hAnsi="Cambria" w:cs="Cambria"/>
              </w:rPr>
            </w:pPr>
            <w:r>
              <w:rPr>
                <w:rFonts w:ascii="Cambria" w:eastAsia="Cambria" w:hAnsi="Cambria" w:cs="Cambria"/>
                <w:b/>
                <w:i/>
              </w:rPr>
              <w:t>Kata kunci:</w:t>
            </w:r>
            <w:r>
              <w:rPr>
                <w:rFonts w:ascii="Cambria" w:eastAsia="Cambria" w:hAnsi="Cambria" w:cs="Cambria"/>
              </w:rPr>
              <w:t>Sosialisasi, Pengetahuan, Kepercayaan, Minat Mahasiswa</w:t>
            </w:r>
          </w:p>
          <w:p w14:paraId="1D67827D" w14:textId="77777777" w:rsidR="00AF4EBA" w:rsidRDefault="00AF4EBA" w:rsidP="003F62DC">
            <w:pPr>
              <w:spacing w:before="120" w:after="120"/>
              <w:ind w:left="40"/>
              <w:jc w:val="both"/>
              <w:rPr>
                <w:rFonts w:ascii="Cambria" w:eastAsia="Cambria" w:hAnsi="Cambria" w:cs="Cambria"/>
                <w:b/>
                <w:sz w:val="24"/>
                <w:szCs w:val="24"/>
              </w:rPr>
            </w:pPr>
          </w:p>
        </w:tc>
      </w:tr>
    </w:tbl>
    <w:p w14:paraId="60FEDFEA" w14:textId="38BEDD0B" w:rsidR="00A27BA3" w:rsidRDefault="00DA6B6F" w:rsidP="00AF4EBA">
      <w:pPr>
        <w:spacing w:after="60" w:line="276" w:lineRule="auto"/>
        <w:rPr>
          <w:rFonts w:ascii="Cambria" w:eastAsia="Cambria" w:hAnsi="Cambria" w:cs="Cambria"/>
          <w:b/>
          <w:sz w:val="24"/>
          <w:szCs w:val="24"/>
        </w:rPr>
      </w:pPr>
      <w:bookmarkStart w:id="1" w:name="_GoBack"/>
      <w:bookmarkEnd w:id="1"/>
      <w:r>
        <w:rPr>
          <w:rFonts w:ascii="Cambria" w:eastAsia="Cambria" w:hAnsi="Cambria" w:cs="Cambria"/>
          <w:b/>
          <w:sz w:val="24"/>
          <w:szCs w:val="24"/>
        </w:rPr>
        <w:t>PERKENALAN</w:t>
      </w:r>
    </w:p>
    <w:p w14:paraId="2CE10766" w14:textId="79CD08B5" w:rsidR="006E6551" w:rsidRPr="006E6551" w:rsidRDefault="0097372A" w:rsidP="006E6551">
      <w:pPr>
        <w:pBdr>
          <w:top w:val="nil"/>
          <w:left w:val="nil"/>
          <w:bottom w:val="nil"/>
          <w:right w:val="nil"/>
          <w:between w:val="nil"/>
        </w:pBdr>
        <w:spacing w:after="60" w:line="276" w:lineRule="auto"/>
        <w:ind w:firstLine="720"/>
        <w:jc w:val="both"/>
        <w:rPr>
          <w:rFonts w:ascii="Cambria" w:eastAsia="Cambria" w:hAnsi="Cambria" w:cs="Cambria"/>
          <w:sz w:val="24"/>
          <w:szCs w:val="24"/>
        </w:rPr>
      </w:pPr>
      <w:r>
        <w:rPr>
          <w:rFonts w:ascii="Cambria" w:eastAsia="Cambria" w:hAnsi="Cambria" w:cs="Cambria"/>
          <w:sz w:val="24"/>
          <w:szCs w:val="24"/>
        </w:rPr>
        <w:t>Mahasiswa</w:t>
      </w:r>
      <w:r w:rsidR="006E6551" w:rsidRPr="006E6551">
        <w:rPr>
          <w:rFonts w:ascii="Cambria" w:eastAsia="Cambria" w:hAnsi="Cambria" w:cs="Cambria"/>
          <w:sz w:val="24"/>
          <w:szCs w:val="24"/>
        </w:rPr>
        <w:t xml:space="preserve"> masa kini telah dibawa ke jejaring sosial seperti ikan ke air; namun demikian, dari sudut pandang kami, ada sedikit kontak sosial yang terjadi di banyak </w:t>
      </w:r>
      <w:proofErr w:type="gramStart"/>
      <w:r w:rsidR="006E6551" w:rsidRPr="006E6551">
        <w:rPr>
          <w:rFonts w:ascii="Cambria" w:eastAsia="Cambria" w:hAnsi="Cambria" w:cs="Cambria"/>
          <w:sz w:val="24"/>
          <w:szCs w:val="24"/>
        </w:rPr>
        <w:t>taman</w:t>
      </w:r>
      <w:proofErr w:type="gramEnd"/>
      <w:r w:rsidR="006E6551" w:rsidRPr="006E6551">
        <w:rPr>
          <w:rFonts w:ascii="Cambria" w:eastAsia="Cambria" w:hAnsi="Cambria" w:cs="Cambria"/>
          <w:sz w:val="24"/>
          <w:szCs w:val="24"/>
        </w:rPr>
        <w:t xml:space="preserve"> kanak-kanak hingga kelas per</w:t>
      </w:r>
      <w:r>
        <w:rPr>
          <w:rFonts w:ascii="Cambria" w:eastAsia="Cambria" w:hAnsi="Cambria" w:cs="Cambria"/>
          <w:sz w:val="24"/>
          <w:szCs w:val="24"/>
        </w:rPr>
        <w:t>Dosen</w:t>
      </w:r>
      <w:r w:rsidR="006E6551" w:rsidRPr="006E6551">
        <w:rPr>
          <w:rFonts w:ascii="Cambria" w:eastAsia="Cambria" w:hAnsi="Cambria" w:cs="Cambria"/>
          <w:sz w:val="24"/>
          <w:szCs w:val="24"/>
        </w:rPr>
        <w:t xml:space="preserve">an tinggi saat ini. Di sebagian besar ruang kelas, paradigma wacana adalah komunikasi satu arah dari instruktur ke </w:t>
      </w:r>
      <w:r>
        <w:rPr>
          <w:rFonts w:ascii="Cambria" w:eastAsia="Cambria" w:hAnsi="Cambria" w:cs="Cambria"/>
          <w:sz w:val="24"/>
          <w:szCs w:val="24"/>
        </w:rPr>
        <w:t>mahasiswa</w:t>
      </w:r>
      <w:r w:rsidR="006E6551" w:rsidRPr="006E6551">
        <w:rPr>
          <w:rFonts w:ascii="Cambria" w:eastAsia="Cambria" w:hAnsi="Cambria" w:cs="Cambria"/>
          <w:sz w:val="24"/>
          <w:szCs w:val="24"/>
        </w:rPr>
        <w:t xml:space="preserve">. Misalnya, setelah hari pertamanya sekolah, seorang anak taman kanak-kanak memberi tahu ibunya, "Yang dilakukan </w:t>
      </w:r>
      <w:r>
        <w:rPr>
          <w:rFonts w:ascii="Cambria" w:eastAsia="Cambria" w:hAnsi="Cambria" w:cs="Cambria"/>
          <w:sz w:val="24"/>
          <w:szCs w:val="24"/>
        </w:rPr>
        <w:t>Dosen</w:t>
      </w:r>
      <w:r w:rsidR="006E6551" w:rsidRPr="006E6551">
        <w:rPr>
          <w:rFonts w:ascii="Cambria" w:eastAsia="Cambria" w:hAnsi="Cambria" w:cs="Cambria"/>
          <w:sz w:val="24"/>
          <w:szCs w:val="24"/>
        </w:rPr>
        <w:t xml:space="preserve"> hanyalah berbicara, berbicara, berbicara." Setelah hari pertama </w:t>
      </w:r>
      <w:r>
        <w:rPr>
          <w:rFonts w:ascii="Cambria" w:eastAsia="Cambria" w:hAnsi="Cambria" w:cs="Cambria"/>
          <w:sz w:val="24"/>
          <w:szCs w:val="24"/>
        </w:rPr>
        <w:t>MAHASISWA FAI</w:t>
      </w:r>
      <w:r w:rsidR="006E6551" w:rsidRPr="006E6551">
        <w:rPr>
          <w:rFonts w:ascii="Cambria" w:eastAsia="Cambria" w:hAnsi="Cambria" w:cs="Cambria"/>
          <w:sz w:val="24"/>
          <w:szCs w:val="24"/>
        </w:rPr>
        <w:t xml:space="preserve"> dan hari pertama kuliah, dia menyatakan hal yang sama. Pengamatannya tidak biasa. Goodlad mencatat sejak tahun 1984, "data dari pengamatan kami di lebih dari 1.000 ruang kelas mendukung citra populer seorang </w:t>
      </w:r>
      <w:r>
        <w:rPr>
          <w:rFonts w:ascii="Cambria" w:eastAsia="Cambria" w:hAnsi="Cambria" w:cs="Cambria"/>
          <w:sz w:val="24"/>
          <w:szCs w:val="24"/>
        </w:rPr>
        <w:t>Dosen</w:t>
      </w:r>
      <w:r w:rsidR="006E6551" w:rsidRPr="006E6551">
        <w:rPr>
          <w:rFonts w:ascii="Cambria" w:eastAsia="Cambria" w:hAnsi="Cambria" w:cs="Cambria"/>
          <w:sz w:val="24"/>
          <w:szCs w:val="24"/>
        </w:rPr>
        <w:t xml:space="preserve"> yang berdiri di depan kelas menyampaikan pengetahuan kepada sekelompok </w:t>
      </w:r>
      <w:r>
        <w:rPr>
          <w:rFonts w:ascii="Cambria" w:eastAsia="Cambria" w:hAnsi="Cambria" w:cs="Cambria"/>
          <w:sz w:val="24"/>
          <w:szCs w:val="24"/>
        </w:rPr>
        <w:t>mahasiswa</w:t>
      </w:r>
      <w:r w:rsidR="006E6551" w:rsidRPr="006E6551">
        <w:rPr>
          <w:rFonts w:ascii="Cambria" w:eastAsia="Cambria" w:hAnsi="Cambria" w:cs="Cambria"/>
          <w:sz w:val="24"/>
          <w:szCs w:val="24"/>
        </w:rPr>
        <w:t xml:space="preserve">". </w:t>
      </w:r>
      <w:r>
        <w:rPr>
          <w:rFonts w:ascii="Cambria" w:eastAsia="Cambria" w:hAnsi="Cambria" w:cs="Cambria"/>
          <w:sz w:val="24"/>
          <w:szCs w:val="24"/>
        </w:rPr>
        <w:fldChar w:fldCharType="begin" w:fldLock="1"/>
      </w:r>
      <w:r>
        <w:rPr>
          <w:rFonts w:ascii="Cambria" w:eastAsia="Cambria" w:hAnsi="Cambria" w:cs="Cambria"/>
          <w:sz w:val="24"/>
          <w:szCs w:val="24"/>
        </w:rPr>
        <w:instrText>ADDIN CSL_CITATION {"citationItems":[{"id":"ITEM-1","itemData":{"DOI":"10.37301/jmubh.v16i2.19032","ISSN":"1907-6576","abstract":"This research aims to test the effect of benefits, trust, and ease of use on customer interests using mobile banking services at PT. West Sumatra Regional Development Bank Koto Baru Branch, Dharmasraya. The variables used in this study are bound variables i.e. customer interest (Y), and free variables consist of benefits (X1), trust (X2), and ease of use (X3). The type of data used in this study is quantitative data. The accumulation of data used in this study was primary data from questionnaires and using teknik slovin. Technical data analysis using classic assumption test, multiple linear regression analysis, and t test. The population in this study was a customer of PT Bank Pembangunan Daerah Sumatera Barat Koto Baru Dharmasraya Branch, the sample in this study amounted to 148 respondents.The research data was collected from respondents' results and analyzed with liniear regression and hypothesis test. The results showed that the variable benefits did not have a positive and significant effect on customer interest with a t-count value of (1,138&lt;1.665) dan untuk variabel kepercayaan berpengaruh positif dan signifikan terhadap minat nasabah dengan nilai t-hitung sebesar (25.426&gt;1,655), furthermore for ease of use positive and significant effect on customer interest with a t-count value of (2,810&gt;1,655).","author":[{"dropping-particle":"","family":"Fernos","given":"Jhon","non-dropping-particle":"","parse-names":false,"suffix":""},{"dropping-particle":"","family":"Alfadino","given":"Mairizal","non-dropping-particle":"","parse-names":false,"suffix":""}],"container-title":"Jurnal Manajemen Universitas Bung Hatta","id":"ITEM-1","issue":"2","issued":{"date-parts":[["2021"]]},"page":"115-125","title":"Pengaruh Manfaat, Kepercayaan, Dan Kemudahan Penggunaan Terhadap Minat Nasabah Menggunakan Layanan Mobile Banking Pada Pt. Bank Pembangunan Daerah Sumatera Barat Cabang Koto Baru, Dharmasraya","type":"article-journal","volume":"16"},"uris":["http://www.mendeley.com/documents/?uuid=250194cb-0cc4-44ee-997d-923c0053ca9b"]}],"mendeley":{"formattedCitation":"(Fernos &amp; Alfadino, 2021)","plainTextFormattedCitation":"(Fernos &amp; Alfadino, 2021)","previouslyFormattedCitation":"(Fernos &amp; Alfadino, 2021)"},"properties":{"noteIndex":0},"schema":"https://github.com/citation-style-language/schema/raw/master/csl-citation.json"}</w:instrText>
      </w:r>
      <w:r>
        <w:rPr>
          <w:rFonts w:ascii="Cambria" w:eastAsia="Cambria" w:hAnsi="Cambria" w:cs="Cambria"/>
          <w:sz w:val="24"/>
          <w:szCs w:val="24"/>
        </w:rPr>
        <w:fldChar w:fldCharType="separate"/>
      </w:r>
      <w:r w:rsidRPr="0097372A">
        <w:rPr>
          <w:rFonts w:ascii="Cambria" w:eastAsia="Cambria" w:hAnsi="Cambria" w:cs="Cambria"/>
          <w:noProof/>
          <w:sz w:val="24"/>
          <w:szCs w:val="24"/>
        </w:rPr>
        <w:t>(Fernos &amp; Alfadino, 2021)</w:t>
      </w:r>
      <w:r>
        <w:rPr>
          <w:rFonts w:ascii="Cambria" w:eastAsia="Cambria" w:hAnsi="Cambria" w:cs="Cambria"/>
          <w:sz w:val="24"/>
          <w:szCs w:val="24"/>
        </w:rPr>
        <w:fldChar w:fldCharType="end"/>
      </w:r>
      <w:r w:rsidR="006E6551" w:rsidRPr="006E6551">
        <w:rPr>
          <w:rFonts w:ascii="Cambria" w:eastAsia="Cambria" w:hAnsi="Cambria" w:cs="Cambria"/>
          <w:sz w:val="24"/>
          <w:szCs w:val="24"/>
        </w:rPr>
        <w:t>mengatakan pada tahun 1998 bahwa 90% waktu di dalam kelas,</w:t>
      </w:r>
    </w:p>
    <w:p w14:paraId="4FE5A367" w14:textId="4B6EF751" w:rsidR="006E6551" w:rsidRPr="006E6551" w:rsidRDefault="006E6551" w:rsidP="006E6551">
      <w:pPr>
        <w:pBdr>
          <w:top w:val="nil"/>
          <w:left w:val="nil"/>
          <w:bottom w:val="nil"/>
          <w:right w:val="nil"/>
          <w:between w:val="nil"/>
        </w:pBdr>
        <w:spacing w:after="60" w:line="276" w:lineRule="auto"/>
        <w:ind w:firstLine="720"/>
        <w:jc w:val="both"/>
        <w:rPr>
          <w:rFonts w:ascii="Cambria" w:eastAsia="Cambria" w:hAnsi="Cambria" w:cs="Cambria"/>
          <w:sz w:val="24"/>
          <w:szCs w:val="24"/>
        </w:rPr>
      </w:pPr>
      <w:r w:rsidRPr="006E6551">
        <w:rPr>
          <w:rFonts w:ascii="Cambria" w:eastAsia="Cambria" w:hAnsi="Cambria" w:cs="Cambria"/>
          <w:sz w:val="24"/>
          <w:szCs w:val="24"/>
        </w:rPr>
        <w:t xml:space="preserve">Menurut </w:t>
      </w:r>
      <w:r w:rsidR="0097372A">
        <w:rPr>
          <w:rFonts w:ascii="Cambria" w:eastAsia="Cambria" w:hAnsi="Cambria" w:cs="Cambria"/>
          <w:sz w:val="24"/>
          <w:szCs w:val="24"/>
        </w:rPr>
        <w:fldChar w:fldCharType="begin" w:fldLock="1"/>
      </w:r>
      <w:r w:rsidR="0097372A">
        <w:rPr>
          <w:rFonts w:ascii="Cambria" w:eastAsia="Cambria" w:hAnsi="Cambria" w:cs="Cambria"/>
          <w:sz w:val="24"/>
          <w:szCs w:val="24"/>
        </w:rPr>
        <w:instrText>ADDIN CSL_CITATION {"citationItems":[{"id":"ITEM-1","itemData":{"abstract":"… Nilai rata-rata tertinggi adalah 3,73 yang terdapat pada dimensi product knowledge dalam pernyataan internet banking dan mobile banking adalah jenis layanan e-channel BTN. …","author":[{"dropping-particle":"","family":"Nurparliana","given":"Lia","non-dropping-particle":"","parse-names":false,"suffix":""},{"dropping-particle":"","family":"Astuti","given":"Titin","non-dropping-particle":"","parse-names":false,"suffix":""},{"dropping-particle":"","family":"Miswan","given":"","non-dropping-particle":"","parse-names":false,"suffix":""}],"container-title":"Seminar Nasional Pariwisata dan Kewirausahaaan","id":"ITEM-1","issued":{"date-parts":[["2022"]]},"page":"310-322","title":"Pengaruh Pengetahuan, Kepercayaan, Dan Kemudahan Penggunaan E-Channel Terhadap Minat Bertransaksi Ulang Secara Online ( Studi Kasus Pada Nasabah Btn Kc Kelapa Gading Square )","type":"article-journal","volume":"1"},"uris":["http://www.mendeley.com/documents/?uuid=4e28684a-bd30-43d1-a1c9-50fbac7668d6"]}],"mendeley":{"formattedCitation":"(Nurparliana et al., 2022)","plainTextFormattedCitation":"(Nurparliana et al., 2022)","previouslyFormattedCitation":"(Nurparliana et al., 2022)"},"properties":{"noteIndex":0},"schema":"https://github.com/citation-style-language/schema/raw/master/csl-citation.json"}</w:instrText>
      </w:r>
      <w:r w:rsidR="0097372A">
        <w:rPr>
          <w:rFonts w:ascii="Cambria" w:eastAsia="Cambria" w:hAnsi="Cambria" w:cs="Cambria"/>
          <w:sz w:val="24"/>
          <w:szCs w:val="24"/>
        </w:rPr>
        <w:fldChar w:fldCharType="separate"/>
      </w:r>
      <w:r w:rsidR="0097372A" w:rsidRPr="0097372A">
        <w:rPr>
          <w:rFonts w:ascii="Cambria" w:eastAsia="Cambria" w:hAnsi="Cambria" w:cs="Cambria"/>
          <w:noProof/>
          <w:sz w:val="24"/>
          <w:szCs w:val="24"/>
        </w:rPr>
        <w:t>(Nurparliana et al., 2022)</w:t>
      </w:r>
      <w:r w:rsidR="0097372A">
        <w:rPr>
          <w:rFonts w:ascii="Cambria" w:eastAsia="Cambria" w:hAnsi="Cambria" w:cs="Cambria"/>
          <w:sz w:val="24"/>
          <w:szCs w:val="24"/>
        </w:rPr>
        <w:fldChar w:fldCharType="end"/>
      </w:r>
      <w:r w:rsidRPr="006E6551">
        <w:rPr>
          <w:rFonts w:ascii="Cambria" w:eastAsia="Cambria" w:hAnsi="Cambria" w:cs="Cambria"/>
          <w:sz w:val="24"/>
          <w:szCs w:val="24"/>
        </w:rPr>
        <w:t>, "</w:t>
      </w:r>
      <w:r w:rsidR="0097372A">
        <w:rPr>
          <w:rFonts w:ascii="Cambria" w:eastAsia="Cambria" w:hAnsi="Cambria" w:cs="Cambria"/>
          <w:sz w:val="24"/>
          <w:szCs w:val="24"/>
        </w:rPr>
        <w:t>mahasiswa</w:t>
      </w:r>
      <w:r w:rsidRPr="006E6551">
        <w:rPr>
          <w:rFonts w:ascii="Cambria" w:eastAsia="Cambria" w:hAnsi="Cambria" w:cs="Cambria"/>
          <w:sz w:val="24"/>
          <w:szCs w:val="24"/>
        </w:rPr>
        <w:t xml:space="preserve"> diharapkan untuk duduk berjam-jam, mencatat, dan sesekali menjawab pertanyaan, dengan sedikit interaksi dengan teman sebaya" (hal. 70). Asumsi bahwa instruktur melakukan semua pembicaraan di ruang kelas </w:t>
      </w:r>
      <w:r w:rsidRPr="006E6551">
        <w:rPr>
          <w:rFonts w:ascii="Cambria" w:eastAsia="Cambria" w:hAnsi="Cambria" w:cs="Cambria"/>
          <w:sz w:val="24"/>
          <w:szCs w:val="24"/>
        </w:rPr>
        <w:lastRenderedPageBreak/>
        <w:t xml:space="preserve">bertentangan dengan keyakinan bahwa belajar pada dasarnya adalah kegiatan sosial dan gagasan bahwa orang yang melakukan pekerjaan juga melakukan pembelajaran. </w:t>
      </w:r>
      <w:r w:rsidR="0097372A">
        <w:rPr>
          <w:rFonts w:ascii="Cambria" w:eastAsia="Cambria" w:hAnsi="Cambria" w:cs="Cambria"/>
          <w:sz w:val="24"/>
          <w:szCs w:val="24"/>
        </w:rPr>
        <w:t>Dosen</w:t>
      </w:r>
      <w:r w:rsidRPr="006E6551">
        <w:rPr>
          <w:rFonts w:ascii="Cambria" w:eastAsia="Cambria" w:hAnsi="Cambria" w:cs="Cambria"/>
          <w:sz w:val="24"/>
          <w:szCs w:val="24"/>
        </w:rPr>
        <w:t xml:space="preserve"> berusaha keras untuk mempersiapkan kuliah. Mereka harus mempelajari berbagai sumber dan mensintesis materi, memilih aspek yang paling signifikan dan menyusunnya secara koheren, membuat catatan kuliah, dan kemudian mempresentasikan pengetahuan tersebut kepada </w:t>
      </w:r>
      <w:r w:rsidR="0097372A">
        <w:rPr>
          <w:rFonts w:ascii="Cambria" w:eastAsia="Cambria" w:hAnsi="Cambria" w:cs="Cambria"/>
          <w:sz w:val="24"/>
          <w:szCs w:val="24"/>
        </w:rPr>
        <w:t>mahasiswa</w:t>
      </w:r>
      <w:r w:rsidRPr="006E6551">
        <w:rPr>
          <w:rFonts w:ascii="Cambria" w:eastAsia="Cambria" w:hAnsi="Cambria" w:cs="Cambria"/>
          <w:sz w:val="24"/>
          <w:szCs w:val="24"/>
        </w:rPr>
        <w:t xml:space="preserve"> yang duduk diam, sering memikirkan segala sesuatu kecuali apa yang dikatakan instruktur. . Siapa yang melakukan sebagian besar pekerjaan dalam proses ini? Instruktur.</w:t>
      </w:r>
    </w:p>
    <w:p w14:paraId="37BA8DF8" w14:textId="113C31AD" w:rsidR="00A27BA3" w:rsidRDefault="0097372A" w:rsidP="006E6551">
      <w:pPr>
        <w:pBdr>
          <w:top w:val="nil"/>
          <w:left w:val="nil"/>
          <w:bottom w:val="nil"/>
          <w:right w:val="nil"/>
          <w:between w:val="nil"/>
        </w:pBdr>
        <w:spacing w:after="60" w:line="276" w:lineRule="auto"/>
        <w:ind w:firstLine="720"/>
        <w:jc w:val="both"/>
        <w:rPr>
          <w:rFonts w:ascii="Cambria" w:eastAsia="Cambria" w:hAnsi="Cambria" w:cs="Cambria"/>
          <w:color w:val="000000"/>
          <w:sz w:val="24"/>
          <w:szCs w:val="24"/>
        </w:rPr>
      </w:pPr>
      <w:r>
        <w:rPr>
          <w:rFonts w:ascii="Cambria" w:eastAsia="Cambria" w:hAnsi="Cambria" w:cs="Cambria"/>
          <w:sz w:val="24"/>
          <w:szCs w:val="24"/>
        </w:rPr>
        <w:t>Dosen</w:t>
      </w:r>
      <w:r w:rsidR="006E6551" w:rsidRPr="006E6551">
        <w:rPr>
          <w:rFonts w:ascii="Cambria" w:eastAsia="Cambria" w:hAnsi="Cambria" w:cs="Cambria"/>
          <w:sz w:val="24"/>
          <w:szCs w:val="24"/>
        </w:rPr>
        <w:t xml:space="preserve"> adalah orang yang membaca, menulis, berpikir, berbicara, dan karenanya belajar. Menurut </w:t>
      </w:r>
      <w:r>
        <w:rPr>
          <w:rFonts w:ascii="Cambria" w:eastAsia="Cambria" w:hAnsi="Cambria" w:cs="Cambria"/>
          <w:sz w:val="24"/>
          <w:szCs w:val="24"/>
        </w:rPr>
        <w:fldChar w:fldCharType="begin" w:fldLock="1"/>
      </w:r>
      <w:r>
        <w:rPr>
          <w:rFonts w:ascii="Cambria" w:eastAsia="Cambria" w:hAnsi="Cambria" w:cs="Cambria"/>
          <w:sz w:val="24"/>
          <w:szCs w:val="24"/>
        </w:rPr>
        <w:instrText>ADDIN CSL_CITATION {"citationItems":[{"id":"ITEM-1","itemData":{"DOI":"10.31842/jurnalinobis.v4i2.181","abstract":"Tujuan penelitian ini adalah untuk menjelaskan dan menganalisis pengaruh persepsi kegunaan, persepsi kemudahan, persepsi kepercayaan, dan norma subjektif terhadap minat mahasiswa berdonasi pada platform crowdfunding. Metode pengambilan sampel yang digunakan adalah metode non probability sampling. Responden dalam penelitian ini adalah mahasiswa/ mahasiswi yang berdomisili di Jabodetabek sebanyak 100 responden. Metode analisis yang digunakan dalam penelitian ini adalah regesi linear berganda. Hasil penelitian menunjukkan variabel persepsi kegunaan berpengaruh tidak signifikan terhadap minat mahasiswa berdonasi melalui platform crowdfunding. Sedangkan, persepsi kemudahan, kepercayaan, dan norma subjektif berpengaruh signifikan tehadap minat mahasiswa berdonasi melalui platform tersebut.","author":[{"dropping-particle":"","family":"Linardi","given":"Celine","non-dropping-particle":"","parse-names":false,"suffix":""},{"dropping-particle":"","family":"Nur","given":"Triasesiarta","non-dropping-particle":"","parse-names":false,"suffix":""}],"container-title":"INOBIS: Jurnal Inovasi Bisnis dan Manajemen Indonesia","id":"ITEM-1","issue":"2","issued":{"date-parts":[["2021"]]},"page":"249-267","title":"Faktor-Faktor Yang Mempengaruhi Minat Mahasiswa Berdonasi Melalui Platform Crowdfunding","type":"article-journal","volume":"4"},"uris":["http://www.mendeley.com/documents/?uuid=91513dab-b688-48fb-be55-19379e6142cf"]}],"mendeley":{"formattedCitation":"(Linardi &amp; Nur, 2021)","plainTextFormattedCitation":"(Linardi &amp; Nur, 2021)","previouslyFormattedCitation":"(Linardi &amp; Nur, 2021)"},"properties":{"noteIndex":0},"schema":"https://github.com/citation-style-language/schema/raw/master/csl-citation.json"}</w:instrText>
      </w:r>
      <w:r>
        <w:rPr>
          <w:rFonts w:ascii="Cambria" w:eastAsia="Cambria" w:hAnsi="Cambria" w:cs="Cambria"/>
          <w:sz w:val="24"/>
          <w:szCs w:val="24"/>
        </w:rPr>
        <w:fldChar w:fldCharType="separate"/>
      </w:r>
      <w:r w:rsidRPr="0097372A">
        <w:rPr>
          <w:rFonts w:ascii="Cambria" w:eastAsia="Cambria" w:hAnsi="Cambria" w:cs="Cambria"/>
          <w:noProof/>
          <w:sz w:val="24"/>
          <w:szCs w:val="24"/>
        </w:rPr>
        <w:t>(Linardi &amp; Nur, 2021)</w:t>
      </w:r>
      <w:r>
        <w:rPr>
          <w:rFonts w:ascii="Cambria" w:eastAsia="Cambria" w:hAnsi="Cambria" w:cs="Cambria"/>
          <w:sz w:val="24"/>
          <w:szCs w:val="24"/>
        </w:rPr>
        <w:fldChar w:fldCharType="end"/>
      </w:r>
      <w:r w:rsidR="006E6551" w:rsidRPr="006E6551">
        <w:rPr>
          <w:rFonts w:ascii="Cambria" w:eastAsia="Cambria" w:hAnsi="Cambria" w:cs="Cambria"/>
          <w:sz w:val="24"/>
          <w:szCs w:val="24"/>
        </w:rPr>
        <w:t xml:space="preserve">kita harus memindahkan "beban belajar dari pundak </w:t>
      </w:r>
      <w:r>
        <w:rPr>
          <w:rFonts w:ascii="Cambria" w:eastAsia="Cambria" w:hAnsi="Cambria" w:cs="Cambria"/>
          <w:sz w:val="24"/>
          <w:szCs w:val="24"/>
        </w:rPr>
        <w:t>Dosen</w:t>
      </w:r>
      <w:r w:rsidR="006E6551" w:rsidRPr="006E6551">
        <w:rPr>
          <w:rFonts w:ascii="Cambria" w:eastAsia="Cambria" w:hAnsi="Cambria" w:cs="Cambria"/>
          <w:sz w:val="24"/>
          <w:szCs w:val="24"/>
        </w:rPr>
        <w:t xml:space="preserve"> ke pundak </w:t>
      </w:r>
      <w:r>
        <w:rPr>
          <w:rFonts w:ascii="Cambria" w:eastAsia="Cambria" w:hAnsi="Cambria" w:cs="Cambria"/>
          <w:sz w:val="24"/>
          <w:szCs w:val="24"/>
        </w:rPr>
        <w:t>mahasiswa</w:t>
      </w:r>
      <w:r w:rsidR="006E6551" w:rsidRPr="006E6551">
        <w:rPr>
          <w:rFonts w:ascii="Cambria" w:eastAsia="Cambria" w:hAnsi="Cambria" w:cs="Cambria"/>
          <w:sz w:val="24"/>
          <w:szCs w:val="24"/>
        </w:rPr>
        <w:t xml:space="preserve">". Menurut </w:t>
      </w:r>
      <w:r>
        <w:rPr>
          <w:rFonts w:ascii="Cambria" w:eastAsia="Cambria" w:hAnsi="Cambria" w:cs="Cambria"/>
          <w:sz w:val="24"/>
          <w:szCs w:val="24"/>
        </w:rPr>
        <w:fldChar w:fldCharType="begin" w:fldLock="1"/>
      </w:r>
      <w:r>
        <w:rPr>
          <w:rFonts w:ascii="Cambria" w:eastAsia="Cambria" w:hAnsi="Cambria" w:cs="Cambria"/>
          <w:sz w:val="24"/>
          <w:szCs w:val="24"/>
        </w:rPr>
        <w:instrText>ADDIN CSL_CITATION {"citationItems":[{"id":"ITEM-1","itemData":{"author":[{"dropping-particle":"","family":"Di","given":"Berkarir","non-dropping-particle":"","parse-names":false,"suffix":""},{"dropping-particle":"","family":"Perpajakan","given":"Bidang","non-dropping-particle":"","parse-names":false,"suffix":""},{"dropping-particle":"","family":"Kemandirian","given":"Asas","non-dropping-particle":"","parse-names":false,"suffix":""}],"id":"ITEM-1","issue":"Accounting 2018","issued":{"date-parts":[["2021"]]},"page":"24-34","title":"PENGETAHUAN PAJAK, PERSEPSI MAHASISWA Terhadap MINAT MAHASISWA BERKARIR DI BIDANG PERPAJAKAN: ASAS KEMANDIRIAN SEBAGAI VARIABEL MODERASI","type":"article-journal"},"uris":["http://www.mendeley.com/documents/?uuid=81892b38-4e8e-4e8d-a3e4-0e0f2bf54a43"]}],"mendeley":{"formattedCitation":"(Di et al., 2021)","plainTextFormattedCitation":"(Di et al., 2021)","previouslyFormattedCitation":"(Di et al., 2021)"},"properties":{"noteIndex":0},"schema":"https://github.com/citation-style-language/schema/raw/master/csl-citation.json"}</w:instrText>
      </w:r>
      <w:r>
        <w:rPr>
          <w:rFonts w:ascii="Cambria" w:eastAsia="Cambria" w:hAnsi="Cambria" w:cs="Cambria"/>
          <w:sz w:val="24"/>
          <w:szCs w:val="24"/>
        </w:rPr>
        <w:fldChar w:fldCharType="separate"/>
      </w:r>
      <w:r w:rsidRPr="0097372A">
        <w:rPr>
          <w:rFonts w:ascii="Cambria" w:eastAsia="Cambria" w:hAnsi="Cambria" w:cs="Cambria"/>
          <w:noProof/>
          <w:sz w:val="24"/>
          <w:szCs w:val="24"/>
        </w:rPr>
        <w:t>(Di et al., 2021)</w:t>
      </w:r>
      <w:r>
        <w:rPr>
          <w:rFonts w:ascii="Cambria" w:eastAsia="Cambria" w:hAnsi="Cambria" w:cs="Cambria"/>
          <w:sz w:val="24"/>
          <w:szCs w:val="24"/>
        </w:rPr>
        <w:fldChar w:fldCharType="end"/>
      </w:r>
      <w:r w:rsidR="006E6551" w:rsidRPr="006E6551">
        <w:rPr>
          <w:rFonts w:ascii="Cambria" w:eastAsia="Cambria" w:hAnsi="Cambria" w:cs="Cambria"/>
          <w:sz w:val="24"/>
          <w:szCs w:val="24"/>
        </w:rPr>
        <w:t xml:space="preserve">, "perlu ada pelepasan tanggung jawab secara bertahap untuk mengendalikan diskusi dari </w:t>
      </w:r>
      <w:r>
        <w:rPr>
          <w:rFonts w:ascii="Cambria" w:eastAsia="Cambria" w:hAnsi="Cambria" w:cs="Cambria"/>
          <w:sz w:val="24"/>
          <w:szCs w:val="24"/>
        </w:rPr>
        <w:t>Dosen</w:t>
      </w:r>
      <w:r w:rsidR="006E6551" w:rsidRPr="006E6551">
        <w:rPr>
          <w:rFonts w:ascii="Cambria" w:eastAsia="Cambria" w:hAnsi="Cambria" w:cs="Cambria"/>
          <w:sz w:val="24"/>
          <w:szCs w:val="24"/>
        </w:rPr>
        <w:t xml:space="preserve"> ke </w:t>
      </w:r>
      <w:r>
        <w:rPr>
          <w:rFonts w:ascii="Cambria" w:eastAsia="Cambria" w:hAnsi="Cambria" w:cs="Cambria"/>
          <w:sz w:val="24"/>
          <w:szCs w:val="24"/>
        </w:rPr>
        <w:t>mahasiswa</w:t>
      </w:r>
      <w:r w:rsidR="006E6551" w:rsidRPr="006E6551">
        <w:rPr>
          <w:rFonts w:ascii="Cambria" w:eastAsia="Cambria" w:hAnsi="Cambria" w:cs="Cambria"/>
          <w:sz w:val="24"/>
          <w:szCs w:val="24"/>
        </w:rPr>
        <w:t xml:space="preserve">". Menurut </w:t>
      </w:r>
      <w:r>
        <w:rPr>
          <w:rFonts w:ascii="Cambria" w:eastAsia="Cambria" w:hAnsi="Cambria" w:cs="Cambria"/>
          <w:sz w:val="24"/>
          <w:szCs w:val="24"/>
        </w:rPr>
        <w:fldChar w:fldCharType="begin" w:fldLock="1"/>
      </w:r>
      <w:r>
        <w:rPr>
          <w:rFonts w:ascii="Cambria" w:eastAsia="Cambria" w:hAnsi="Cambria" w:cs="Cambria"/>
          <w:sz w:val="24"/>
          <w:szCs w:val="24"/>
        </w:rPr>
        <w:instrText>ADDIN CSL_CITATION {"citationItems":[{"id":"ITEM-1","itemData":{"DOI":"10.37301/jmubh.v16i2.19032","ISSN":"1907-6576","abstract":"This research aims to test the effect of benefits, trust, and ease of use on customer interests using mobile banking services at PT. West Sumatra Regional Development Bank Koto Baru Branch, Dharmasraya. The variables used in this study are bound variables i.e. customer interest (Y), and free variables consist of benefits (X1), trust (X2), and ease of use (X3). The type of data used in this study is quantitative data. The accumulation of data used in this study was primary data from questionnaires and using teknik slovin. Technical data analysis using classic assumption test, multiple linear regression analysis, and t test. The population in this study was a customer of PT Bank Pembangunan Daerah Sumatera Barat Koto Baru Dharmasraya Branch, the sample in this study amounted to 148 respondents.The research data was collected from respondents' results and analyzed with liniear regression and hypothesis test. The results showed that the variable benefits did not have a positive and significant effect on customer interest with a t-count value of (1,138&lt;1.665) dan untuk variabel kepercayaan berpengaruh positif dan signifikan terhadap minat nasabah dengan nilai t-hitung sebesar (25.426&gt;1,655), furthermore for ease of use positive and significant effect on customer interest with a t-count value of (2,810&gt;1,655).","author":[{"dropping-particle":"","family":"Fernos","given":"Jhon","non-dropping-particle":"","parse-names":false,"suffix":""},{"dropping-particle":"","family":"Alfadino","given":"Mairizal","non-dropping-particle":"","parse-names":false,"suffix":""}],"container-title":"Jurnal Manajemen Universitas Bung Hatta","id":"ITEM-1","issue":"2","issued":{"date-parts":[["2021"]]},"page":"115-125","title":"Pengaruh Manfaat, Kepercayaan, Dan Kemudahan Penggunaan Terhadap Minat Nasabah Menggunakan Layanan Mobile Banking Pada Pt. Bank Pembangunan Daerah Sumatera Barat Cabang Koto Baru, Dharmasraya","type":"article-journal","volume":"16"},"uris":["http://www.mendeley.com/documents/?uuid=250194cb-0cc4-44ee-997d-923c0053ca9b"]}],"mendeley":{"formattedCitation":"(Fernos &amp; Alfadino, 2021)","plainTextFormattedCitation":"(Fernos &amp; Alfadino, 2021)","previouslyFormattedCitation":"(Fernos &amp; Alfadino, 2021)"},"properties":{"noteIndex":0},"schema":"https://github.com/citation-style-language/schema/raw/master/csl-citation.json"}</w:instrText>
      </w:r>
      <w:r>
        <w:rPr>
          <w:rFonts w:ascii="Cambria" w:eastAsia="Cambria" w:hAnsi="Cambria" w:cs="Cambria"/>
          <w:sz w:val="24"/>
          <w:szCs w:val="24"/>
        </w:rPr>
        <w:fldChar w:fldCharType="separate"/>
      </w:r>
      <w:r w:rsidRPr="0097372A">
        <w:rPr>
          <w:rFonts w:ascii="Cambria" w:eastAsia="Cambria" w:hAnsi="Cambria" w:cs="Cambria"/>
          <w:noProof/>
          <w:sz w:val="24"/>
          <w:szCs w:val="24"/>
        </w:rPr>
        <w:t>(Fernos &amp; Alfadino, 2021)</w:t>
      </w:r>
      <w:r>
        <w:rPr>
          <w:rFonts w:ascii="Cambria" w:eastAsia="Cambria" w:hAnsi="Cambria" w:cs="Cambria"/>
          <w:sz w:val="24"/>
          <w:szCs w:val="24"/>
        </w:rPr>
        <w:fldChar w:fldCharType="end"/>
      </w:r>
      <w:r w:rsidR="006E6551" w:rsidRPr="006E6551">
        <w:rPr>
          <w:rFonts w:ascii="Cambria" w:eastAsia="Cambria" w:hAnsi="Cambria" w:cs="Cambria"/>
          <w:sz w:val="24"/>
          <w:szCs w:val="24"/>
        </w:rPr>
        <w:t>, "</w:t>
      </w:r>
      <w:r>
        <w:rPr>
          <w:rFonts w:ascii="Cambria" w:eastAsia="Cambria" w:hAnsi="Cambria" w:cs="Cambria"/>
          <w:sz w:val="24"/>
          <w:szCs w:val="24"/>
        </w:rPr>
        <w:t>mahasiswa</w:t>
      </w:r>
      <w:r w:rsidR="006E6551" w:rsidRPr="006E6551">
        <w:rPr>
          <w:rFonts w:ascii="Cambria" w:eastAsia="Cambria" w:hAnsi="Cambria" w:cs="Cambria"/>
          <w:sz w:val="24"/>
          <w:szCs w:val="24"/>
        </w:rPr>
        <w:t xml:space="preserve">lah yang seharusnya melakukan sebagian besar pekerjaan". </w:t>
      </w:r>
      <w:r>
        <w:rPr>
          <w:rFonts w:ascii="Cambria" w:eastAsia="Cambria" w:hAnsi="Cambria" w:cs="Cambria"/>
          <w:sz w:val="24"/>
          <w:szCs w:val="24"/>
        </w:rPr>
        <w:t>Mahasiswa</w:t>
      </w:r>
      <w:r w:rsidR="006E6551" w:rsidRPr="006E6551">
        <w:rPr>
          <w:rFonts w:ascii="Cambria" w:eastAsia="Cambria" w:hAnsi="Cambria" w:cs="Cambria"/>
          <w:sz w:val="24"/>
          <w:szCs w:val="24"/>
        </w:rPr>
        <w:t xml:space="preserve"> dapat berperan sebagai pembaca, penulis, penyaji, pendengar, dan pemikir di kelas dengan berpartisipasi aktif dalam kontak sosial dengan orang lain). Kami mendefinisikan interaksi sosial sebagai diskusi yang bermakna antara peserta didik untuk kepentingan penelitian ini. Peserta didik yang berinteraksi secara sosial lebih cenderung terlibat). Menurut </w:t>
      </w:r>
      <w:r>
        <w:rPr>
          <w:rFonts w:ascii="Cambria" w:eastAsia="Cambria" w:hAnsi="Cambria" w:cs="Cambria"/>
          <w:sz w:val="24"/>
          <w:szCs w:val="24"/>
        </w:rPr>
        <w:fldChar w:fldCharType="begin" w:fldLock="1"/>
      </w:r>
      <w:r>
        <w:rPr>
          <w:rFonts w:ascii="Cambria" w:eastAsia="Cambria" w:hAnsi="Cambria" w:cs="Cambria"/>
          <w:sz w:val="24"/>
          <w:szCs w:val="24"/>
        </w:rPr>
        <w:instrText>ADDIN CSL_CITATION {"citationItems":[{"id":"ITEM-1","itemData":{"abstract":"Pasar modal merupakan salah satu sarana investasi untuk semua kalangan, tidak terkecuali mahasiswa. Minat berinvestasi mahasiswa dipengaruhi beberapa faktor seperti sosialisasi dan pengetahuan. Penelitian ini bertujuan untuk mengetahui pengaruh sosialisasi dan pengetahuan terhadap minat investasi mahasiswa di pasar modal syariah. Penelitian ini menggunakan pendekatan kuantitatif dengan analisis regresi linier berganda. Hasil penelitian menunjukkan bahwa: (1) Sosialisasi berpengaruh terhadap minat berinvestasi mahasiswa Banda Aceh (2) Pengetahuan berpengaruh terhadap minat berinvestasi mahasiswa Banda Aceh (3) Secara simultan keduanya berpengaruh terhadap minat berinvestasi mahasiswa di Banda Aceh. Hasil penelitian ini diharapkan dapat menjadi referensi bagi pemangku kepentingan di dunia pasar modal untuk meningkatkan sosialisasi dan literasi dalam menarik minat investor yang berasal dari kalangan mahasiswa.","author":[{"dropping-particle":"","family":"Zulchayra","given":"Zahra","non-dropping-particle":"","parse-names":false,"suffix":""},{"dropping-particle":"","family":"Azharsyah","given":"","non-dropping-particle":"","parse-names":false,"suffix":""},{"dropping-particle":"","family":"Fitria","given":"Ana","non-dropping-particle":"","parse-names":false,"suffix":""}],"container-title":"Jihbiz Global Journal of Islamic Banking and Finance","id":"ITEM-1","issue":"2","issued":{"date-parts":[["2020"]]},"page":"138-155","title":"Minat investasi di Pasar Modal Syariah (Studi pada mahasiswa di Banda Aceh)","type":"article-journal","volume":"2"},"uris":["http://www.mendeley.com/documents/?uuid=08c9c104-8697-4038-aa55-7479df2db282"]}],"mendeley":{"formattedCitation":"(Zulchayra et al., 2020)","plainTextFormattedCitation":"(Zulchayra et al., 2020)","previouslyFormattedCitation":"(Zulchayra et al., 2020)"},"properties":{"noteIndex":0},"schema":"https://github.com/citation-style-language/schema/raw/master/csl-citation.json"}</w:instrText>
      </w:r>
      <w:r>
        <w:rPr>
          <w:rFonts w:ascii="Cambria" w:eastAsia="Cambria" w:hAnsi="Cambria" w:cs="Cambria"/>
          <w:sz w:val="24"/>
          <w:szCs w:val="24"/>
        </w:rPr>
        <w:fldChar w:fldCharType="separate"/>
      </w:r>
      <w:r w:rsidRPr="0097372A">
        <w:rPr>
          <w:rFonts w:ascii="Cambria" w:eastAsia="Cambria" w:hAnsi="Cambria" w:cs="Cambria"/>
          <w:noProof/>
          <w:sz w:val="24"/>
          <w:szCs w:val="24"/>
        </w:rPr>
        <w:t>(Zulchayra et al., 2020)</w:t>
      </w:r>
      <w:r>
        <w:rPr>
          <w:rFonts w:ascii="Cambria" w:eastAsia="Cambria" w:hAnsi="Cambria" w:cs="Cambria"/>
          <w:sz w:val="24"/>
          <w:szCs w:val="24"/>
        </w:rPr>
        <w:fldChar w:fldCharType="end"/>
      </w:r>
      <w:r w:rsidR="006E6551" w:rsidRPr="006E6551">
        <w:rPr>
          <w:rFonts w:ascii="Cambria" w:eastAsia="Cambria" w:hAnsi="Cambria" w:cs="Cambria"/>
          <w:sz w:val="24"/>
          <w:szCs w:val="24"/>
        </w:rPr>
        <w:t>, "</w:t>
      </w:r>
      <w:r>
        <w:rPr>
          <w:rFonts w:ascii="Cambria" w:eastAsia="Cambria" w:hAnsi="Cambria" w:cs="Cambria"/>
          <w:sz w:val="24"/>
          <w:szCs w:val="24"/>
        </w:rPr>
        <w:t>mahasiswa</w:t>
      </w:r>
      <w:r w:rsidR="006E6551" w:rsidRPr="006E6551">
        <w:rPr>
          <w:rFonts w:ascii="Cambria" w:eastAsia="Cambria" w:hAnsi="Cambria" w:cs="Cambria"/>
          <w:sz w:val="24"/>
          <w:szCs w:val="24"/>
        </w:rPr>
        <w:t xml:space="preserve"> belajar lebih banyak ketika mereka dapat berbicara satu sama lain dan terlibat secara aktif" . Singkatnya, hubungan sosial sangat penting untuk </w:t>
      </w:r>
      <w:r>
        <w:rPr>
          <w:rFonts w:ascii="Cambria" w:eastAsia="Cambria" w:hAnsi="Cambria" w:cs="Cambria"/>
          <w:sz w:val="24"/>
          <w:szCs w:val="24"/>
        </w:rPr>
        <w:t>meningkatkan minat mahasiwa</w:t>
      </w:r>
      <w:r w:rsidR="00DA6B6F">
        <w:rPr>
          <w:rFonts w:ascii="Cambria" w:eastAsia="Cambria" w:hAnsi="Cambria" w:cs="Cambria"/>
          <w:color w:val="000000"/>
          <w:sz w:val="24"/>
          <w:szCs w:val="24"/>
        </w:rPr>
        <w:t>.</w:t>
      </w:r>
    </w:p>
    <w:p w14:paraId="0AE53DFC" w14:textId="77777777" w:rsidR="00C338F0" w:rsidRDefault="00C338F0" w:rsidP="00403C52">
      <w:pPr>
        <w:pBdr>
          <w:top w:val="nil"/>
          <w:left w:val="nil"/>
          <w:bottom w:val="nil"/>
          <w:right w:val="nil"/>
          <w:between w:val="nil"/>
        </w:pBdr>
        <w:spacing w:after="60" w:line="276" w:lineRule="auto"/>
        <w:ind w:left="720"/>
        <w:jc w:val="both"/>
        <w:rPr>
          <w:rFonts w:ascii="Cambria" w:eastAsia="Cambria" w:hAnsi="Cambria" w:cs="Cambria"/>
          <w:color w:val="000000"/>
          <w:sz w:val="24"/>
          <w:szCs w:val="24"/>
        </w:rPr>
      </w:pPr>
    </w:p>
    <w:p w14:paraId="1787ACB0" w14:textId="6E5372D2" w:rsidR="00A27BA3" w:rsidRDefault="00DA6B6F" w:rsidP="00AF4EBA">
      <w:pPr>
        <w:spacing w:after="60" w:line="276" w:lineRule="auto"/>
        <w:rPr>
          <w:rFonts w:ascii="Cambria" w:eastAsia="Cambria" w:hAnsi="Cambria" w:cs="Cambria"/>
          <w:b/>
          <w:sz w:val="24"/>
          <w:szCs w:val="24"/>
        </w:rPr>
      </w:pPr>
      <w:r>
        <w:rPr>
          <w:rFonts w:ascii="Cambria" w:eastAsia="Cambria" w:hAnsi="Cambria" w:cs="Cambria"/>
          <w:b/>
          <w:sz w:val="24"/>
          <w:szCs w:val="24"/>
        </w:rPr>
        <w:t>TINJAUAN LITERATUR</w:t>
      </w:r>
    </w:p>
    <w:p w14:paraId="4AF8A1FF" w14:textId="77777777" w:rsidR="00A27BA3" w:rsidRPr="00DE0542" w:rsidRDefault="00DE0542">
      <w:pPr>
        <w:numPr>
          <w:ilvl w:val="0"/>
          <w:numId w:val="2"/>
        </w:numPr>
        <w:pBdr>
          <w:top w:val="nil"/>
          <w:left w:val="nil"/>
          <w:bottom w:val="nil"/>
          <w:right w:val="nil"/>
          <w:between w:val="nil"/>
        </w:pBdr>
        <w:spacing w:after="0" w:line="276" w:lineRule="auto"/>
        <w:ind w:left="714" w:hanging="357"/>
        <w:jc w:val="both"/>
        <w:rPr>
          <w:rFonts w:ascii="Cambria" w:eastAsia="Cambria" w:hAnsi="Cambria" w:cs="Cambria"/>
          <w:color w:val="000000"/>
          <w:sz w:val="24"/>
          <w:szCs w:val="24"/>
        </w:rPr>
      </w:pPr>
      <w:r>
        <w:rPr>
          <w:rFonts w:ascii="Cambria" w:eastAsia="Cambria" w:hAnsi="Cambria" w:cs="Cambria"/>
          <w:b/>
          <w:i/>
          <w:color w:val="000000"/>
          <w:sz w:val="24"/>
          <w:szCs w:val="24"/>
        </w:rPr>
        <w:t>Sosisalisasi</w:t>
      </w:r>
    </w:p>
    <w:p w14:paraId="3F6B871B" w14:textId="77777777" w:rsidR="006E6551" w:rsidRPr="006E6551" w:rsidRDefault="006E6551" w:rsidP="006E6551">
      <w:pPr>
        <w:pBdr>
          <w:top w:val="nil"/>
          <w:left w:val="nil"/>
          <w:bottom w:val="nil"/>
          <w:right w:val="nil"/>
          <w:between w:val="nil"/>
        </w:pBdr>
        <w:spacing w:after="0" w:line="276" w:lineRule="auto"/>
        <w:ind w:left="720" w:firstLine="720"/>
        <w:jc w:val="both"/>
        <w:rPr>
          <w:rFonts w:ascii="Cambria" w:eastAsia="Cambria" w:hAnsi="Cambria" w:cs="Cambria"/>
          <w:bCs/>
          <w:iCs/>
          <w:color w:val="000000"/>
          <w:sz w:val="24"/>
          <w:szCs w:val="24"/>
        </w:rPr>
      </w:pPr>
      <w:r w:rsidRPr="006E6551">
        <w:rPr>
          <w:rFonts w:ascii="Cambria" w:eastAsia="Cambria" w:hAnsi="Cambria" w:cs="Cambria"/>
          <w:bCs/>
          <w:iCs/>
          <w:color w:val="000000"/>
          <w:sz w:val="24"/>
          <w:szCs w:val="24"/>
        </w:rPr>
        <w:t>Menurut Kamus Besar Bahasa Indonesia, sosialisasi adalah upaya untuk mensosialisasikan sesuatu agar diketahui, dipahami, dan diasimilasi oleh masyarakat. Menurut Perbankan Syariah, sosialisasi sangat penting untuk menginformasikan kepada masyarakat tentang kelebihan dan kekurangan suatu produk. Pelatihan seminar, misalnya, dapat membantu sosialisasi. Sosialisasi sangat penting karena tanpanya, kita bisa yakin bahwa tujuan apa pun yang kita tetapkan untuk diri sendiri atau orang lain tidak akan tercapai. Keluarga adalah konteks sosial pertama. Ketika bayi baru lahir lahir, dia tidak tahu apa-apa tentang dirinya atau lingkungannya.</w:t>
      </w:r>
    </w:p>
    <w:p w14:paraId="1B2AFDFD" w14:textId="2E962C6E" w:rsidR="00DE0542" w:rsidRPr="00DE0542" w:rsidRDefault="006E6551" w:rsidP="006E6551">
      <w:pPr>
        <w:pBdr>
          <w:top w:val="nil"/>
          <w:left w:val="nil"/>
          <w:bottom w:val="nil"/>
          <w:right w:val="nil"/>
          <w:between w:val="nil"/>
        </w:pBdr>
        <w:spacing w:after="0" w:line="276" w:lineRule="auto"/>
        <w:ind w:left="720" w:firstLine="720"/>
        <w:jc w:val="both"/>
        <w:rPr>
          <w:rFonts w:ascii="Cambria" w:eastAsia="Cambria" w:hAnsi="Cambria" w:cs="Cambria"/>
          <w:bCs/>
          <w:iCs/>
          <w:color w:val="000000"/>
          <w:sz w:val="24"/>
          <w:szCs w:val="24"/>
        </w:rPr>
      </w:pPr>
      <w:r w:rsidRPr="006E6551">
        <w:rPr>
          <w:rFonts w:ascii="Cambria" w:eastAsia="Cambria" w:hAnsi="Cambria" w:cs="Cambria"/>
          <w:bCs/>
          <w:iCs/>
          <w:color w:val="000000"/>
          <w:sz w:val="24"/>
          <w:szCs w:val="24"/>
        </w:rPr>
        <w:t>Namun, bayi memiliki kemampuan untuk belajar tentang dirinya dan lingkungannya. Lingkungan sosial di mana ia dilahirkan memiliki dampak besar pada apa dan bagaimana ia belajar. Dan proses belajar terjadi sebagai konsekuensi sosialisasi bukan dari dirinya</w:t>
      </w:r>
      <w:r w:rsidR="0097372A">
        <w:rPr>
          <w:rFonts w:ascii="Cambria" w:eastAsia="Cambria" w:hAnsi="Cambria" w:cs="Cambria"/>
          <w:bCs/>
          <w:iCs/>
          <w:color w:val="000000"/>
          <w:sz w:val="24"/>
          <w:szCs w:val="24"/>
        </w:rPr>
        <w:fldChar w:fldCharType="begin" w:fldLock="1"/>
      </w:r>
      <w:r w:rsidR="0097372A">
        <w:rPr>
          <w:rFonts w:ascii="Cambria" w:eastAsia="Cambria" w:hAnsi="Cambria" w:cs="Cambria"/>
          <w:bCs/>
          <w:iCs/>
          <w:color w:val="000000"/>
          <w:sz w:val="24"/>
          <w:szCs w:val="24"/>
        </w:rPr>
        <w:instrText>ADDIN CSL_CITATION {"citationItems":[{"id":"ITEM-1","itemData":{"abstract":"There are many strategies that can be done to attract people to save at the bank, one of which is promotion. Promotion can be done through social media, advertising and so on. Apart from that, banks must also provide knowledge to the public about savings products and maintain public trust so that they can increase public interest in saving. This study aims to determine whether promotion, knowledge and trust influence people's interest in saving at Bank Syariah Indonesia KCP Singkut. This study uses quantitative methods by obtaining primary data from a questionnaire by taking 86 respondents. The results of the t-test study showed that the promotion and trust variables had a significant effect, while the knowledge variable had no significant effect. The results of the F-test research state that promotion, knowledge and trust together have a significant effect on the interest in saving. The coefficient of determination of promotion, knowledge and trust is 28.4% for people's interest in saving.","author":[{"dropping-particle":"","family":"Malik","given":"Abdul","non-dropping-particle":"","parse-names":false,"suffix":""},{"dropping-particle":"","family":"Ahmad Syahrizal","given":"","non-dropping-particle":"","parse-names":false,"suffix":""},{"dropping-particle":"","family":"Anisah","given":"","non-dropping-particle":"","parse-names":false,"suffix":""}],"container-title":"Jurnal Margin","id":"ITEM-1","issue":"1","issued":{"date-parts":[["2021"]]},"page":"28-43","title":"Pengaruh Promosi, Pengetahuan Dan Kepercayaan\nTerhadap Minat Menabung Di Bank Syariah Indonesia\nKcp Singkut Pada Masyarakat Desa Pelawan Jaya","type":"article-journal","volume":"1"},"uris":["http://www.mendeley.com/documents/?uuid=fdff8fe7-e441-41a0-a6bb-3dc5ccbff806"]}],"mendeley":{"formattedCitation":"(Malik et al., 2021)","plainTextFormattedCitation":"(Malik et al., 2021)","previouslyFormattedCitation":"(Malik et al., 2021)"},"properties":{"noteIndex":0},"schema":"https://github.com/citation-style-language/schema/raw/master/csl-citation.json"}</w:instrText>
      </w:r>
      <w:r w:rsidR="0097372A">
        <w:rPr>
          <w:rFonts w:ascii="Cambria" w:eastAsia="Cambria" w:hAnsi="Cambria" w:cs="Cambria"/>
          <w:bCs/>
          <w:iCs/>
          <w:color w:val="000000"/>
          <w:sz w:val="24"/>
          <w:szCs w:val="24"/>
        </w:rPr>
        <w:fldChar w:fldCharType="separate"/>
      </w:r>
      <w:r w:rsidR="0097372A" w:rsidRPr="0097372A">
        <w:rPr>
          <w:rFonts w:ascii="Cambria" w:eastAsia="Cambria" w:hAnsi="Cambria" w:cs="Cambria"/>
          <w:bCs/>
          <w:iCs/>
          <w:noProof/>
          <w:color w:val="000000"/>
          <w:sz w:val="24"/>
          <w:szCs w:val="24"/>
        </w:rPr>
        <w:t>(Malik et al., 2021)</w:t>
      </w:r>
      <w:r w:rsidR="0097372A">
        <w:rPr>
          <w:rFonts w:ascii="Cambria" w:eastAsia="Cambria" w:hAnsi="Cambria" w:cs="Cambria"/>
          <w:bCs/>
          <w:iCs/>
          <w:color w:val="000000"/>
          <w:sz w:val="24"/>
          <w:szCs w:val="24"/>
        </w:rPr>
        <w:fldChar w:fldCharType="end"/>
      </w:r>
      <w:r w:rsidRPr="006E6551">
        <w:rPr>
          <w:rFonts w:ascii="Cambria" w:eastAsia="Cambria" w:hAnsi="Cambria" w:cs="Cambria"/>
          <w:bCs/>
          <w:iCs/>
          <w:color w:val="000000"/>
          <w:sz w:val="24"/>
          <w:szCs w:val="24"/>
        </w:rPr>
        <w:t>. Sosialisasi adalah gagasan luas yang dapat didefinisikan sebagai proses di mana kita belajar bagaimana berpikir, merasakan, dan berperilaku melalui interaksi dengan orang lain, yang semuanya penting dalam mengembangkan keterlibatan sosial yang berhasil. Sosialisasi adalah proses berkelanjutan yang terjadi sepanjang hidup kita</w:t>
      </w:r>
      <w:proofErr w:type="gramStart"/>
      <w:r w:rsidRPr="006E6551">
        <w:rPr>
          <w:rFonts w:ascii="Cambria" w:eastAsia="Cambria" w:hAnsi="Cambria" w:cs="Cambria"/>
          <w:bCs/>
          <w:iCs/>
          <w:color w:val="000000"/>
          <w:sz w:val="24"/>
          <w:szCs w:val="24"/>
        </w:rPr>
        <w:t>..</w:t>
      </w:r>
      <w:proofErr w:type="gramEnd"/>
    </w:p>
    <w:p w14:paraId="5B5E8AF5" w14:textId="77777777" w:rsidR="00DE0542" w:rsidRDefault="00DE0542">
      <w:pPr>
        <w:numPr>
          <w:ilvl w:val="0"/>
          <w:numId w:val="2"/>
        </w:numPr>
        <w:pBdr>
          <w:top w:val="nil"/>
          <w:left w:val="nil"/>
          <w:bottom w:val="nil"/>
          <w:right w:val="nil"/>
          <w:between w:val="nil"/>
        </w:pBdr>
        <w:spacing w:after="0" w:line="276" w:lineRule="auto"/>
        <w:ind w:left="714" w:hanging="357"/>
        <w:jc w:val="both"/>
        <w:rPr>
          <w:rFonts w:ascii="Cambria" w:eastAsia="Cambria" w:hAnsi="Cambria" w:cs="Cambria"/>
          <w:color w:val="000000"/>
          <w:sz w:val="24"/>
          <w:szCs w:val="24"/>
        </w:rPr>
      </w:pPr>
      <w:bookmarkStart w:id="2" w:name="_heading=h.30j0zll" w:colFirst="0" w:colLast="0"/>
      <w:bookmarkEnd w:id="2"/>
      <w:r>
        <w:rPr>
          <w:rFonts w:ascii="Cambria" w:eastAsia="Cambria" w:hAnsi="Cambria" w:cs="Cambria"/>
          <w:b/>
          <w:i/>
          <w:color w:val="000000"/>
          <w:sz w:val="24"/>
          <w:szCs w:val="24"/>
        </w:rPr>
        <w:t>Pengetahuan:</w:t>
      </w:r>
    </w:p>
    <w:p w14:paraId="5505ADBF" w14:textId="584B2B37" w:rsidR="006E6551" w:rsidRPr="006E6551" w:rsidRDefault="006E6551" w:rsidP="006E6551">
      <w:pPr>
        <w:pBdr>
          <w:top w:val="nil"/>
          <w:left w:val="nil"/>
          <w:bottom w:val="nil"/>
          <w:right w:val="nil"/>
          <w:between w:val="nil"/>
        </w:pBdr>
        <w:spacing w:after="0" w:line="276" w:lineRule="auto"/>
        <w:ind w:left="720" w:firstLine="720"/>
        <w:jc w:val="both"/>
        <w:rPr>
          <w:rFonts w:ascii="Cambria" w:eastAsia="Cambria" w:hAnsi="Cambria" w:cs="Cambria"/>
          <w:color w:val="000000"/>
          <w:sz w:val="24"/>
          <w:szCs w:val="24"/>
        </w:rPr>
      </w:pPr>
      <w:r w:rsidRPr="006E6551">
        <w:rPr>
          <w:rFonts w:ascii="Cambria" w:eastAsia="Cambria" w:hAnsi="Cambria" w:cs="Cambria"/>
          <w:color w:val="000000"/>
          <w:sz w:val="24"/>
          <w:szCs w:val="24"/>
        </w:rPr>
        <w:t xml:space="preserve">Keingintahuan terhadap hal-hal tertentu mengarah pada pengetahuan sebagai konsekuensi dari proses indrawi, terutama pada mata dan pendengaran. </w:t>
      </w:r>
      <w:r w:rsidRPr="006E6551">
        <w:rPr>
          <w:rFonts w:ascii="Cambria" w:eastAsia="Cambria" w:hAnsi="Cambria" w:cs="Cambria"/>
          <w:color w:val="000000"/>
          <w:sz w:val="24"/>
          <w:szCs w:val="24"/>
        </w:rPr>
        <w:lastRenderedPageBreak/>
        <w:t>menegaskan bahwa pengetahuan merupakan area penting dalam pembentukan perilaku terbuka. Penginderaan manusia atau mengetahui seseorang tentang suatu hal melalui panca inderanya menghasilkan pengetahuan. Penglihatan, pendengaran, penciuman, rasa, dan sentuhan adalah lima indera manusia yang digunakan untuk mendeteksi barang. Tingkat perhatian dan persepsi item pada saat penginderaan mempengaruhi produksi pengetahuan.</w:t>
      </w:r>
    </w:p>
    <w:p w14:paraId="55E762EF" w14:textId="1E08A335" w:rsidR="00A27BA3" w:rsidRDefault="006E6551" w:rsidP="006E6551">
      <w:pPr>
        <w:pBdr>
          <w:top w:val="nil"/>
          <w:left w:val="nil"/>
          <w:bottom w:val="nil"/>
          <w:right w:val="nil"/>
          <w:between w:val="nil"/>
        </w:pBdr>
        <w:spacing w:after="0" w:line="276" w:lineRule="auto"/>
        <w:ind w:left="720" w:firstLine="720"/>
        <w:jc w:val="both"/>
        <w:rPr>
          <w:rFonts w:ascii="Cambria" w:eastAsia="Cambria" w:hAnsi="Cambria" w:cs="Cambria"/>
          <w:color w:val="000000"/>
          <w:sz w:val="24"/>
          <w:szCs w:val="24"/>
        </w:rPr>
      </w:pPr>
      <w:r w:rsidRPr="006E6551">
        <w:rPr>
          <w:rFonts w:ascii="Cambria" w:eastAsia="Cambria" w:hAnsi="Cambria" w:cs="Cambria"/>
          <w:color w:val="000000"/>
          <w:sz w:val="24"/>
          <w:szCs w:val="24"/>
        </w:rPr>
        <w:t xml:space="preserve">Sebagian besar informasi seseorang diterima melalui indera pendengaran dan penglihatan </w:t>
      </w:r>
      <w:r w:rsidR="0097372A">
        <w:rPr>
          <w:rFonts w:ascii="Cambria" w:eastAsia="Cambria" w:hAnsi="Cambria" w:cs="Cambria"/>
          <w:color w:val="000000"/>
          <w:sz w:val="24"/>
          <w:szCs w:val="24"/>
        </w:rPr>
        <w:fldChar w:fldCharType="begin" w:fldLock="1"/>
      </w:r>
      <w:r w:rsidR="0097372A">
        <w:rPr>
          <w:rFonts w:ascii="Cambria" w:eastAsia="Cambria" w:hAnsi="Cambria" w:cs="Cambria"/>
          <w:color w:val="000000"/>
          <w:sz w:val="24"/>
          <w:szCs w:val="24"/>
        </w:rPr>
        <w:instrText>ADDIN CSL_CITATION {"citationItems":[{"id":"ITEM-1","itemData":{"ISSN":"2614-7696","abstract":"This study aims to analyze the influence of social media and trust on buying interest in Vans shoes for students of the Faculty of Economics, University of Singaperbangsa Karawang. This research uses descriptive and verification methods. Samples were collected using the stratified random sampling method and purposive sampling with a total sample of 100 respondents from a total population of 3,597 people. The data analysis technique used is scale range analysis, path analysis and multiple linear regression test. Based on the results of this study, it shows that social media has a positive and significant effect on purchase intention with a percentage of 46%, trust has a positive and significant effect on purchase intention with a percentage of 7.3%. There is a simultaneous influence of social media and trust on purchase intention which is 53,3% and the remaining 46.7% is influenced by other variables not examined in this study. The Vans shoe company must be able to interact online with consumers, by promoting its products on social media and developing creative ways to expand reach, increase consumer confidence by continuously improving product quality to gain the trust of consumers.","author":[{"dropping-particle":"","family":"Maulana","given":"Asep","non-dropping-particle":"","parse-names":false,"suffix":""}],"container-title":"Jurnal Ilmiah Mahasiswa Ekonomi Manajemen TERAKREDITASI SINTA","id":"ITEM-1","issue":"3","issued":{"date-parts":[["2021"]]},"page":"605-619","title":"Pengaruh Media Sosial Dan Kepercayaan Terhadap Minat Beli Sepatu Vans (Studi Pada Mahasiswa Fakultas Ekonomi Universitas Singaperbangsa Karawang)","type":"article-journal","volume":"4"},"uris":["http://www.mendeley.com/documents/?uuid=549074cc-422a-4c11-8d06-a08cd72354cd"]}],"mendeley":{"formattedCitation":"(Maulana, 2021)","plainTextFormattedCitation":"(Maulana, 2021)","previouslyFormattedCitation":"(Maulana, 2021)"},"properties":{"noteIndex":0},"schema":"https://github.com/citation-style-language/schema/raw/master/csl-citation.json"}</w:instrText>
      </w:r>
      <w:r w:rsidR="0097372A">
        <w:rPr>
          <w:rFonts w:ascii="Cambria" w:eastAsia="Cambria" w:hAnsi="Cambria" w:cs="Cambria"/>
          <w:color w:val="000000"/>
          <w:sz w:val="24"/>
          <w:szCs w:val="24"/>
        </w:rPr>
        <w:fldChar w:fldCharType="separate"/>
      </w:r>
      <w:r w:rsidR="0097372A" w:rsidRPr="0097372A">
        <w:rPr>
          <w:rFonts w:ascii="Cambria" w:eastAsia="Cambria" w:hAnsi="Cambria" w:cs="Cambria"/>
          <w:noProof/>
          <w:color w:val="000000"/>
          <w:sz w:val="24"/>
          <w:szCs w:val="24"/>
        </w:rPr>
        <w:t>(Maulana, 2021)</w:t>
      </w:r>
      <w:r w:rsidR="0097372A">
        <w:rPr>
          <w:rFonts w:ascii="Cambria" w:eastAsia="Cambria" w:hAnsi="Cambria" w:cs="Cambria"/>
          <w:color w:val="000000"/>
          <w:sz w:val="24"/>
          <w:szCs w:val="24"/>
        </w:rPr>
        <w:fldChar w:fldCharType="end"/>
      </w:r>
      <w:r w:rsidRPr="006E6551">
        <w:rPr>
          <w:rFonts w:ascii="Cambria" w:eastAsia="Cambria" w:hAnsi="Cambria" w:cs="Cambria"/>
          <w:color w:val="000000"/>
          <w:sz w:val="24"/>
          <w:szCs w:val="24"/>
        </w:rPr>
        <w:t>. Aspek sekolah formal berdampak pada pengetahuan, dan keduanya terkait erat. Pendidikan tinggi diharapkan dapat menambah wawasan. Sebaliknya, orang dengan tingkat pendidikan yang buruk tidak selalu mendapat informasi. Peningkatan pengetahuan dapat dicapai tidak hanya melalui pendidikan formal, tetapi juga melalui pendidikan non formal. Pengetahuan tentang sesuatu memiliki dua komponen: fitur positif dan negatif. Kedua faktor ini akan mempengaruhi pola pikir seseorang. Semakin banyak sifat-sifat baik dan barang-barang yang diketahui, maka akan berkembang pandangan yang lebih baik mengenai objek-objek tertentu. timbul.</w:t>
      </w:r>
    </w:p>
    <w:p w14:paraId="28CB4FE7" w14:textId="77777777" w:rsidR="00DE0542" w:rsidRDefault="00DE0542">
      <w:pPr>
        <w:numPr>
          <w:ilvl w:val="0"/>
          <w:numId w:val="2"/>
        </w:numPr>
        <w:pBdr>
          <w:top w:val="nil"/>
          <w:left w:val="nil"/>
          <w:bottom w:val="nil"/>
          <w:right w:val="nil"/>
          <w:between w:val="nil"/>
        </w:pBdr>
        <w:spacing w:after="60" w:line="276" w:lineRule="auto"/>
        <w:ind w:left="714" w:hanging="357"/>
        <w:jc w:val="both"/>
        <w:rPr>
          <w:rFonts w:ascii="Cambria" w:eastAsia="Cambria" w:hAnsi="Cambria" w:cs="Cambria"/>
          <w:color w:val="000000"/>
          <w:sz w:val="24"/>
          <w:szCs w:val="24"/>
        </w:rPr>
      </w:pPr>
      <w:r>
        <w:rPr>
          <w:rFonts w:ascii="Cambria" w:eastAsia="Cambria" w:hAnsi="Cambria" w:cs="Cambria"/>
          <w:b/>
          <w:i/>
          <w:color w:val="000000"/>
          <w:sz w:val="24"/>
          <w:szCs w:val="24"/>
        </w:rPr>
        <w:t>Kepercayaan</w:t>
      </w:r>
      <w:r w:rsidR="00DA6B6F">
        <w:rPr>
          <w:rFonts w:ascii="Cambria" w:eastAsia="Cambria" w:hAnsi="Cambria" w:cs="Cambria"/>
          <w:color w:val="000000"/>
          <w:sz w:val="24"/>
          <w:szCs w:val="24"/>
        </w:rPr>
        <w:t>(opsional):</w:t>
      </w:r>
    </w:p>
    <w:p w14:paraId="1AC52C09" w14:textId="008B6D5F" w:rsidR="006E6551" w:rsidRPr="006E6551" w:rsidRDefault="006E6551" w:rsidP="006E6551">
      <w:pPr>
        <w:pBdr>
          <w:top w:val="nil"/>
          <w:left w:val="nil"/>
          <w:bottom w:val="nil"/>
          <w:right w:val="nil"/>
          <w:between w:val="nil"/>
        </w:pBdr>
        <w:spacing w:after="60" w:line="276" w:lineRule="auto"/>
        <w:ind w:left="720" w:firstLine="720"/>
        <w:jc w:val="both"/>
        <w:rPr>
          <w:rFonts w:ascii="Cambria" w:eastAsia="Cambria" w:hAnsi="Cambria" w:cs="Cambria"/>
          <w:color w:val="000000"/>
          <w:sz w:val="24"/>
          <w:szCs w:val="24"/>
        </w:rPr>
      </w:pPr>
      <w:r w:rsidRPr="006E6551">
        <w:rPr>
          <w:rFonts w:ascii="Cambria" w:eastAsia="Cambria" w:hAnsi="Cambria" w:cs="Cambria"/>
          <w:color w:val="000000"/>
          <w:sz w:val="24"/>
          <w:szCs w:val="24"/>
        </w:rPr>
        <w:t xml:space="preserve">Menurut </w:t>
      </w:r>
      <w:r w:rsidR="0097372A">
        <w:rPr>
          <w:rFonts w:ascii="Cambria" w:eastAsia="Cambria" w:hAnsi="Cambria" w:cs="Cambria"/>
          <w:color w:val="000000"/>
          <w:sz w:val="24"/>
          <w:szCs w:val="24"/>
        </w:rPr>
        <w:fldChar w:fldCharType="begin" w:fldLock="1"/>
      </w:r>
      <w:r w:rsidR="0097372A">
        <w:rPr>
          <w:rFonts w:ascii="Cambria" w:eastAsia="Cambria" w:hAnsi="Cambria" w:cs="Cambria"/>
          <w:color w:val="000000"/>
          <w:sz w:val="24"/>
          <w:szCs w:val="24"/>
        </w:rPr>
        <w:instrText>ADDIN CSL_CITATION {"citationItems":[{"id":"ITEM-1","itemData":{"DOI":"10.28918/jief.v2i2.6246","ISSN":"2797-4014","abstract":"This study aimed to determine the effect of trust, social environment, income and financial efficacy on interest in saving in Islamic financial institutions. This research is a type of quantitative research. The data collection method in this study was a questionnaire using a sample of 100 respondents. The sampling technique is probability sampling with a simple random sampling method. This study uses multiple linear regression analysis methods and the data is processed with SPSS version 25 software. The results of this study indicate that partially social environment and efficacy have a significant effect on interest in saving in Islamic financial institutions, while trust and income have no significant effect on interest in saving in institutions. Islamic finance. then simultaneously trust, social environment, income, and financial efficacy affect the interest in saving in Islamic financial institutions. The implications for Islamic financial institutions need to make people feel confident because a person's belief or self-confidence can eliminate doubts about doing something, including in terms of saving. And it is necessary to create a good social environment because the value of a good social environment will encourage people's interest to save in Islamic financial institutions. Whereas. the trust and income variables have no influence on the interest in saving in Islamic financial institutions. This means that Islamic financial institutions need to increase socialization and public education to the public so that they can be more confident and interested in using their products.","author":[{"dropping-particle":"","family":"Indana afriyanti","given":"","non-dropping-particle":"","parse-names":false,"suffix":""},{"dropping-particle":"","family":"Agus Arwani","given":"","non-dropping-particle":"","parse-names":false,"suffix":""}],"container-title":"JIEF : Journal of Islamic Economics and Finance","id":"ITEM-1","issue":"2","issued":{"date-parts":[["2022"]]},"page":"36-50","title":"Determinan Kepercayaan, Lingkungan Sosial, Pendapatan Dan Efikasi Keuangan Terhadap Minat Menabung di Lembaga Keuangan Syariah","type":"article-journal","volume":"2"},"uris":["http://www.mendeley.com/documents/?uuid=13343a55-b147-406c-83f7-8133dc46e819"]}],"mendeley":{"formattedCitation":"(Indana afriyanti &amp; Agus Arwani, 2022)","plainTextFormattedCitation":"(Indana afriyanti &amp; Agus Arwani, 2022)","previouslyFormattedCitation":"(Indana afriyanti &amp; Agus Arwani, 2022)"},"properties":{"noteIndex":0},"schema":"https://github.com/citation-style-language/schema/raw/master/csl-citation.json"}</w:instrText>
      </w:r>
      <w:r w:rsidR="0097372A">
        <w:rPr>
          <w:rFonts w:ascii="Cambria" w:eastAsia="Cambria" w:hAnsi="Cambria" w:cs="Cambria"/>
          <w:color w:val="000000"/>
          <w:sz w:val="24"/>
          <w:szCs w:val="24"/>
        </w:rPr>
        <w:fldChar w:fldCharType="separate"/>
      </w:r>
      <w:r w:rsidR="0097372A" w:rsidRPr="0097372A">
        <w:rPr>
          <w:rFonts w:ascii="Cambria" w:eastAsia="Cambria" w:hAnsi="Cambria" w:cs="Cambria"/>
          <w:noProof/>
          <w:color w:val="000000"/>
          <w:sz w:val="24"/>
          <w:szCs w:val="24"/>
        </w:rPr>
        <w:t>(Indana afriyanti &amp; Agus Arwani, 2022)</w:t>
      </w:r>
      <w:r w:rsidR="0097372A">
        <w:rPr>
          <w:rFonts w:ascii="Cambria" w:eastAsia="Cambria" w:hAnsi="Cambria" w:cs="Cambria"/>
          <w:color w:val="000000"/>
          <w:sz w:val="24"/>
          <w:szCs w:val="24"/>
        </w:rPr>
        <w:fldChar w:fldCharType="end"/>
      </w:r>
      <w:r w:rsidRPr="006E6551">
        <w:rPr>
          <w:rFonts w:ascii="Cambria" w:eastAsia="Cambria" w:hAnsi="Cambria" w:cs="Cambria"/>
          <w:color w:val="000000"/>
          <w:sz w:val="24"/>
          <w:szCs w:val="24"/>
        </w:rPr>
        <w:t xml:space="preserve">, kepercayaan adalah semua pengetahuan konsumen dan semua kesimpulan konsumen tentang barang, kualitas, dan keunggulan. Menurut </w:t>
      </w:r>
      <w:r w:rsidR="0097372A">
        <w:rPr>
          <w:rFonts w:ascii="Cambria" w:eastAsia="Cambria" w:hAnsi="Cambria" w:cs="Cambria"/>
          <w:color w:val="000000"/>
          <w:sz w:val="24"/>
          <w:szCs w:val="24"/>
        </w:rPr>
        <w:fldChar w:fldCharType="begin" w:fldLock="1"/>
      </w:r>
      <w:r w:rsidR="0097372A">
        <w:rPr>
          <w:rFonts w:ascii="Cambria" w:eastAsia="Cambria" w:hAnsi="Cambria" w:cs="Cambria"/>
          <w:color w:val="000000"/>
          <w:sz w:val="24"/>
          <w:szCs w:val="24"/>
        </w:rPr>
        <w:instrText>ADDIN CSL_CITATION {"citationItems":[{"id":"ITEM-1","itemData":{"abstract":"This study aims to determine the effect of Knowledge Level, Service Quality, Product Socialization and Customer Literacy Level both partially and simultaneously on the Existence of Bank Syariah Indonesia (BSI) in Central Tapanuli. This research is a type of quantitative research with a causal associative approach. The population in this study is the Muslim community that uses Islamic banking products in Central Tapanuli. The research sample is 100 people using purposive sampling method. The data collection technique used was a questionnaire. The data analysis technique used is multiple linear regression analysis. The results showed that the level of knowledge, service quality, product socialization and customer literacy level had a positive and significant effect on the existence of Bank Syariah Indonesia (BSI) in Central Tapanuli either partially or simultaneously.","author":[{"dropping-particle":"","family":"Bugis","given":"Sri Wulandari","non-dropping-particle":"","parse-names":false,"suffix":""},{"dropping-particle":"","family":"Anggraini","given":"Tuti","non-dropping-particle":"","parse-names":false,"suffix":""}],"id":"ITEM-1","issue":"01","issued":{"date-parts":[["2023"]]},"page":"841-846","title":"Pengaruh Tingkat Pengetahuan, Kualitas Layanan, Sosialisasi Produk dan Literasi Nasabah terhadap Eksistensi Bank Syariah Indonesia (BSI) di Tapanuli Tengah","type":"article-journal","volume":"9"},"uris":["http://www.mendeley.com/documents/?uuid=5d0a4591-2e52-46fe-ba3e-5c277d18bde3"]}],"mendeley":{"formattedCitation":"(Bugis &amp; Anggraini, 2023)","plainTextFormattedCitation":"(Bugis &amp; Anggraini, 2023)","previouslyFormattedCitation":"(Bugis &amp; Anggraini, 2023)"},"properties":{"noteIndex":0},"schema":"https://github.com/citation-style-language/schema/raw/master/csl-citation.json"}</w:instrText>
      </w:r>
      <w:r w:rsidR="0097372A">
        <w:rPr>
          <w:rFonts w:ascii="Cambria" w:eastAsia="Cambria" w:hAnsi="Cambria" w:cs="Cambria"/>
          <w:color w:val="000000"/>
          <w:sz w:val="24"/>
          <w:szCs w:val="24"/>
        </w:rPr>
        <w:fldChar w:fldCharType="separate"/>
      </w:r>
      <w:r w:rsidR="0097372A" w:rsidRPr="0097372A">
        <w:rPr>
          <w:rFonts w:ascii="Cambria" w:eastAsia="Cambria" w:hAnsi="Cambria" w:cs="Cambria"/>
          <w:noProof/>
          <w:color w:val="000000"/>
          <w:sz w:val="24"/>
          <w:szCs w:val="24"/>
        </w:rPr>
        <w:t>(Bugis &amp; Anggraini, 2023)</w:t>
      </w:r>
      <w:r w:rsidR="0097372A">
        <w:rPr>
          <w:rFonts w:ascii="Cambria" w:eastAsia="Cambria" w:hAnsi="Cambria" w:cs="Cambria"/>
          <w:color w:val="000000"/>
          <w:sz w:val="24"/>
          <w:szCs w:val="24"/>
        </w:rPr>
        <w:fldChar w:fldCharType="end"/>
      </w:r>
      <w:r w:rsidRPr="006E6551">
        <w:rPr>
          <w:rFonts w:ascii="Cambria" w:eastAsia="Cambria" w:hAnsi="Cambria" w:cs="Cambria"/>
          <w:color w:val="000000"/>
          <w:sz w:val="24"/>
          <w:szCs w:val="24"/>
        </w:rPr>
        <w:t xml:space="preserve">, kepercayaan adalah kekhawatiran psikologis yang dibangun atas harapan perilaku baik dari orang lain. Menurut </w:t>
      </w:r>
      <w:r w:rsidR="0097372A">
        <w:rPr>
          <w:rFonts w:ascii="Cambria" w:eastAsia="Cambria" w:hAnsi="Cambria" w:cs="Cambria"/>
          <w:color w:val="000000"/>
          <w:sz w:val="24"/>
          <w:szCs w:val="24"/>
        </w:rPr>
        <w:fldChar w:fldCharType="begin" w:fldLock="1"/>
      </w:r>
      <w:r w:rsidR="0097372A">
        <w:rPr>
          <w:rFonts w:ascii="Cambria" w:eastAsia="Cambria" w:hAnsi="Cambria" w:cs="Cambria"/>
          <w:color w:val="000000"/>
          <w:sz w:val="24"/>
          <w:szCs w:val="24"/>
        </w:rPr>
        <w:instrText>ADDIN CSL_CITATION {"citationItems":[{"id":"ITEM-1","itemData":{"abstract":"Pasar modal merupakan salah satu sarana investasi untuk semua kalangan, tidak terkecuali mahasiswa. Minat berinvestasi mahasiswa dipengaruhi beberapa faktor seperti sosialisasi dan pengetahuan. Penelitian ini bertujuan untuk mengetahui pengaruh sosialisasi dan pengetahuan terhadap minat investasi mahasiswa di pasar modal syariah. Penelitian ini menggunakan pendekatan kuantitatif dengan analisis regresi linier berganda. Hasil penelitian menunjukkan bahwa: (1) Sosialisasi berpengaruh terhadap minat berinvestasi mahasiswa Banda Aceh (2) Pengetahuan berpengaruh terhadap minat berinvestasi mahasiswa Banda Aceh (3) Secara simultan keduanya berpengaruh terhadap minat berinvestasi mahasiswa di Banda Aceh. Hasil penelitian ini diharapkan dapat menjadi referensi bagi pemangku kepentingan di dunia pasar modal untuk meningkatkan sosialisasi dan literasi dalam menarik minat investor yang berasal dari kalangan mahasiswa.","author":[{"dropping-particle":"","family":"Zulchayra","given":"Zahra","non-dropping-particle":"","parse-names":false,"suffix":""},{"dropping-particle":"","family":"Azharsyah","given":"","non-dropping-particle":"","parse-names":false,"suffix":""},{"dropping-particle":"","family":"Fitria","given":"Ana","non-dropping-particle":"","parse-names":false,"suffix":""}],"container-title":"Jihbiz Global Journal of Islamic Banking and Finance","id":"ITEM-1","issue":"2","issued":{"date-parts":[["2020"]]},"page":"138-155","title":"Minat investasi di Pasar Modal Syariah (Studi pada mahasiswa di Banda Aceh)","type":"article-journal","volume":"2"},"uris":["http://www.mendeley.com/documents/?uuid=08c9c104-8697-4038-aa55-7479df2db282"]}],"mendeley":{"formattedCitation":"(Zulchayra et al., 2020)","plainTextFormattedCitation":"(Zulchayra et al., 2020)","previouslyFormattedCitation":"(Zulchayra et al., 2020)"},"properties":{"noteIndex":0},"schema":"https://github.com/citation-style-language/schema/raw/master/csl-citation.json"}</w:instrText>
      </w:r>
      <w:r w:rsidR="0097372A">
        <w:rPr>
          <w:rFonts w:ascii="Cambria" w:eastAsia="Cambria" w:hAnsi="Cambria" w:cs="Cambria"/>
          <w:color w:val="000000"/>
          <w:sz w:val="24"/>
          <w:szCs w:val="24"/>
        </w:rPr>
        <w:fldChar w:fldCharType="separate"/>
      </w:r>
      <w:r w:rsidR="0097372A" w:rsidRPr="0097372A">
        <w:rPr>
          <w:rFonts w:ascii="Cambria" w:eastAsia="Cambria" w:hAnsi="Cambria" w:cs="Cambria"/>
          <w:noProof/>
          <w:color w:val="000000"/>
          <w:sz w:val="24"/>
          <w:szCs w:val="24"/>
        </w:rPr>
        <w:t>(Zulchayra et al., 2020)</w:t>
      </w:r>
      <w:r w:rsidR="0097372A">
        <w:rPr>
          <w:rFonts w:ascii="Cambria" w:eastAsia="Cambria" w:hAnsi="Cambria" w:cs="Cambria"/>
          <w:color w:val="000000"/>
          <w:sz w:val="24"/>
          <w:szCs w:val="24"/>
        </w:rPr>
        <w:fldChar w:fldCharType="end"/>
      </w:r>
      <w:r w:rsidRPr="006E6551">
        <w:rPr>
          <w:rFonts w:ascii="Cambria" w:eastAsia="Cambria" w:hAnsi="Cambria" w:cs="Cambria"/>
          <w:color w:val="000000"/>
          <w:sz w:val="24"/>
          <w:szCs w:val="24"/>
        </w:rPr>
        <w:t>, kepercayaan adalah keyakinan seseorang terhadap keterpercayaan, daya tahan, dan integritas pihak lain dalam suatu hubungan, serta keyakinan bahwa tindakannya adalah untuk kepentingan terbaik pihak yang dipercaya dan akan menimbulkan konsekuensi yang menguntungkan.</w:t>
      </w:r>
    </w:p>
    <w:p w14:paraId="193703F4" w14:textId="55E1CE10" w:rsidR="00A27BA3" w:rsidRDefault="006E6551" w:rsidP="006E6551">
      <w:pPr>
        <w:pBdr>
          <w:top w:val="nil"/>
          <w:left w:val="nil"/>
          <w:bottom w:val="nil"/>
          <w:right w:val="nil"/>
          <w:between w:val="nil"/>
        </w:pBdr>
        <w:spacing w:after="60" w:line="276" w:lineRule="auto"/>
        <w:ind w:left="720" w:firstLine="720"/>
        <w:jc w:val="both"/>
        <w:rPr>
          <w:rFonts w:ascii="Cambria" w:eastAsia="Cambria" w:hAnsi="Cambria" w:cs="Cambria"/>
          <w:color w:val="000000"/>
          <w:sz w:val="24"/>
          <w:szCs w:val="24"/>
        </w:rPr>
      </w:pPr>
      <w:r w:rsidRPr="006E6551">
        <w:rPr>
          <w:rFonts w:ascii="Cambria" w:eastAsia="Cambria" w:hAnsi="Cambria" w:cs="Cambria"/>
          <w:color w:val="000000"/>
          <w:sz w:val="24"/>
          <w:szCs w:val="24"/>
        </w:rPr>
        <w:t>Sedangkan kepercayaan adalah penilaian hubungan seseorang dengan individu lain yang akan melakukan transaksi tertentu sesuai dengan harapan dalam lingkungan yang tidak dapat diprediksi. Menurut definisi para ahli, kepercayaan adalah harapan yang dipegang oleh seseorang atau kelompok ketika kata-kata, janji, pernyataan lisan atau tertulis dari seseorang atau kelompok lain dapat diwujudkan.</w:t>
      </w:r>
    </w:p>
    <w:p w14:paraId="6E9F6155" w14:textId="2B19CD50" w:rsidR="00DE0542" w:rsidRPr="00DE0542" w:rsidRDefault="00DE0542">
      <w:pPr>
        <w:numPr>
          <w:ilvl w:val="0"/>
          <w:numId w:val="2"/>
        </w:numPr>
        <w:pBdr>
          <w:top w:val="nil"/>
          <w:left w:val="nil"/>
          <w:bottom w:val="nil"/>
          <w:right w:val="nil"/>
          <w:between w:val="nil"/>
        </w:pBdr>
        <w:spacing w:after="60" w:line="276" w:lineRule="auto"/>
        <w:ind w:left="714" w:hanging="357"/>
        <w:jc w:val="both"/>
        <w:rPr>
          <w:rFonts w:ascii="Cambria" w:eastAsia="Cambria" w:hAnsi="Cambria" w:cs="Cambria"/>
          <w:color w:val="000000"/>
          <w:sz w:val="24"/>
          <w:szCs w:val="24"/>
        </w:rPr>
      </w:pPr>
      <w:r>
        <w:rPr>
          <w:rFonts w:ascii="Cambria" w:eastAsia="Cambria" w:hAnsi="Cambria" w:cs="Cambria"/>
          <w:b/>
          <w:i/>
          <w:color w:val="000000"/>
          <w:sz w:val="24"/>
          <w:szCs w:val="24"/>
        </w:rPr>
        <w:t>Minat Maha</w:t>
      </w:r>
      <w:r w:rsidR="0097372A">
        <w:rPr>
          <w:rFonts w:ascii="Cambria" w:eastAsia="Cambria" w:hAnsi="Cambria" w:cs="Cambria"/>
          <w:b/>
          <w:i/>
          <w:color w:val="000000"/>
          <w:sz w:val="24"/>
          <w:szCs w:val="24"/>
        </w:rPr>
        <w:t>mahasiswa</w:t>
      </w:r>
    </w:p>
    <w:p w14:paraId="7365F4D5" w14:textId="6DC8B41B" w:rsidR="006E6551" w:rsidRPr="006E6551" w:rsidRDefault="006E6551" w:rsidP="006E6551">
      <w:pPr>
        <w:pBdr>
          <w:top w:val="nil"/>
          <w:left w:val="nil"/>
          <w:bottom w:val="nil"/>
          <w:right w:val="nil"/>
          <w:between w:val="nil"/>
        </w:pBdr>
        <w:spacing w:after="60" w:line="276" w:lineRule="auto"/>
        <w:ind w:left="720" w:firstLine="720"/>
        <w:jc w:val="both"/>
        <w:rPr>
          <w:rFonts w:ascii="Cambria" w:eastAsia="Cambria" w:hAnsi="Cambria" w:cs="Cambria"/>
          <w:bCs/>
          <w:iCs/>
          <w:color w:val="000000"/>
          <w:sz w:val="24"/>
          <w:szCs w:val="24"/>
        </w:rPr>
      </w:pPr>
      <w:r w:rsidRPr="006E6551">
        <w:rPr>
          <w:rFonts w:ascii="Cambria" w:eastAsia="Cambria" w:hAnsi="Cambria" w:cs="Cambria"/>
          <w:bCs/>
          <w:iCs/>
          <w:color w:val="000000"/>
          <w:sz w:val="24"/>
          <w:szCs w:val="24"/>
        </w:rPr>
        <w:t xml:space="preserve">Menurut </w:t>
      </w:r>
      <w:r w:rsidR="0097372A">
        <w:rPr>
          <w:rFonts w:ascii="Cambria" w:eastAsia="Cambria" w:hAnsi="Cambria" w:cs="Cambria"/>
          <w:bCs/>
          <w:iCs/>
          <w:color w:val="000000"/>
          <w:sz w:val="24"/>
          <w:szCs w:val="24"/>
        </w:rPr>
        <w:fldChar w:fldCharType="begin" w:fldLock="1"/>
      </w:r>
      <w:r w:rsidR="0097372A">
        <w:rPr>
          <w:rFonts w:ascii="Cambria" w:eastAsia="Cambria" w:hAnsi="Cambria" w:cs="Cambria"/>
          <w:bCs/>
          <w:iCs/>
          <w:color w:val="000000"/>
          <w:sz w:val="24"/>
          <w:szCs w:val="24"/>
        </w:rPr>
        <w:instrText>ADDIN CSL_CITATION {"citationItems":[{"id":"ITEM-1","itemData":{"DOI":"10.32877/eb.v5i3.652","ISSN":"2622-4291","abstract":"Akuntansi merupakan salah satu jurusan yang banyak diminati mahasiswa baik di perguruan tinggi negeri maupun swasta. Mahasiswa yang mendaftar di jurusan akuntansi karena berbagai alasan, termasuk persepsi masa depan pekerjaan yang cerah, prestise sosial dan kemajuan ekonomi. Pendidikan akuntansi yang profesional akan membentuk mahasiswa menjadi ahli di bidangnya. Tujuan pada penelitian ini untuk meliti bagaimana persepsi, motivasi, self efficacy dan pertimbangan pasar kerja dapat mempengaruhi minat berkarir mahasiswa program akutansi untuk berkarir sebagai konsultan pajak. Metode penelitian yang digunakan dalam penelitian ini merupakan desain penelitian kuantitatif, dengan sumber data primer dan sekunder. Populasi dalam penelitian ini melibatkan beberapa mahasiswa jurusan Akutansi di perguruan tinggi di Kota Batam pada semester ganjil yang berjumlah 612. Dalam penelitian ini teknik penentuan besar sampel menggunakan rumus slovin dengan total 242 responden. Dalam penelitian ini, metode pengambilan sampel yang digunakan adalah kombinasi non probability sampling dan pendekatan purposive sampling. Teknik analisis data menggunakan uji validitas, uji reliabilitas, uji normalitas, uji multikolinearitas, uji heteroskedastisitas, analisis regresi linier bergandan, analisis koefisien determinasi (R2), uji t dan uji f. Hasil penelitian menyebutkan bahwa persepsi, motivasi, self efficacy dan pertimbangan pasar kerja dapat mempengaruhi secara parsial dan simultan dengan positif dan signifikan terhadap minat berkarir mahasiswa program akutansi untuk berkarir sebagai konsultan pajak","author":[{"dropping-particle":"","family":"Juliana","given":"","non-dropping-particle":"","parse-names":false,"suffix":""},{"dropping-particle":"","family":"Viola Syukrina E Janrosl","given":"","non-dropping-particle":"","parse-names":false,"suffix":""}],"container-title":"eCo-Buss","id":"ITEM-1","issue":"3","issued":{"date-parts":[["2023"]]},"page":"921-934","title":"Faktor-Faktor Yang Mempengaruhi Minat Mahasiswa Program Akuntansi Untuk Berkarir Sebagai Konsultan Pajak","type":"article-journal","volume":"5"},"uris":["http://www.mendeley.com/documents/?uuid=319a4f50-fd9b-48f5-a91b-2339dc4e176d"]}],"mendeley":{"formattedCitation":"(Juliana &amp; Viola Syukrina E Janrosl, 2023)","plainTextFormattedCitation":"(Juliana &amp; Viola Syukrina E Janrosl, 2023)","previouslyFormattedCitation":"(Juliana &amp; Viola Syukrina E Janrosl, 2023)"},"properties":{"noteIndex":0},"schema":"https://github.com/citation-style-language/schema/raw/master/csl-citation.json"}</w:instrText>
      </w:r>
      <w:r w:rsidR="0097372A">
        <w:rPr>
          <w:rFonts w:ascii="Cambria" w:eastAsia="Cambria" w:hAnsi="Cambria" w:cs="Cambria"/>
          <w:bCs/>
          <w:iCs/>
          <w:color w:val="000000"/>
          <w:sz w:val="24"/>
          <w:szCs w:val="24"/>
        </w:rPr>
        <w:fldChar w:fldCharType="separate"/>
      </w:r>
      <w:r w:rsidR="0097372A" w:rsidRPr="0097372A">
        <w:rPr>
          <w:rFonts w:ascii="Cambria" w:eastAsia="Cambria" w:hAnsi="Cambria" w:cs="Cambria"/>
          <w:bCs/>
          <w:iCs/>
          <w:noProof/>
          <w:color w:val="000000"/>
          <w:sz w:val="24"/>
          <w:szCs w:val="24"/>
        </w:rPr>
        <w:t>(Juliana &amp; Viola Syukrina E Janrosl, 2023)</w:t>
      </w:r>
      <w:r w:rsidR="0097372A">
        <w:rPr>
          <w:rFonts w:ascii="Cambria" w:eastAsia="Cambria" w:hAnsi="Cambria" w:cs="Cambria"/>
          <w:bCs/>
          <w:iCs/>
          <w:color w:val="000000"/>
          <w:sz w:val="24"/>
          <w:szCs w:val="24"/>
        </w:rPr>
        <w:fldChar w:fldCharType="end"/>
      </w:r>
      <w:r w:rsidRPr="006E6551">
        <w:rPr>
          <w:rFonts w:ascii="Cambria" w:eastAsia="Cambria" w:hAnsi="Cambria" w:cs="Cambria"/>
          <w:bCs/>
          <w:iCs/>
          <w:color w:val="000000"/>
          <w:sz w:val="24"/>
          <w:szCs w:val="24"/>
        </w:rPr>
        <w:t xml:space="preserve">, minat seseorang sangat vital dalam melaksanakan tugas. Nah, minat, sebagai ciri psikologis, mungkin tidak hanya mewarnai perilaku seseorang, tetapi juga menginspirasi seseorang untuk melakukan suatu kegiatan dan mengarahkan seseorang untuk memperhatikan dan menyerahkan diri untuk berpartisipasi dalam suatu kegiatan. Menurut definisi yang diberikan di atas, minat adalah "kecenderungan yang kuat, antusiasme, atau keinginan yang kuat terhadap sesuatu". Menurut </w:t>
      </w:r>
      <w:r w:rsidR="0097372A">
        <w:rPr>
          <w:rFonts w:ascii="Cambria" w:eastAsia="Cambria" w:hAnsi="Cambria" w:cs="Cambria"/>
          <w:bCs/>
          <w:iCs/>
          <w:color w:val="000000"/>
          <w:sz w:val="24"/>
          <w:szCs w:val="24"/>
        </w:rPr>
        <w:fldChar w:fldCharType="begin" w:fldLock="1"/>
      </w:r>
      <w:r w:rsidR="0097372A">
        <w:rPr>
          <w:rFonts w:ascii="Cambria" w:eastAsia="Cambria" w:hAnsi="Cambria" w:cs="Cambria"/>
          <w:bCs/>
          <w:iCs/>
          <w:color w:val="000000"/>
          <w:sz w:val="24"/>
          <w:szCs w:val="24"/>
        </w:rPr>
        <w:instrText>ADDIN CSL_CITATION {"citationItems":[{"id":"ITEM-1","itemData":{"abstract":"Introduction/Main Objectives: To determine the influence of students' perceptions, motivation, interests and knowledge about taxes on career choices in the field of taxation. Background Problems: Lack of student interest in the taxation sector where it is difficult to find experts in the field of taxation. Novelty: Re- examining variables that have existed in previous studies with different research locations. Research Methods: Type of quantitative research with data collection methods using the questionnaire method which is distributed online, sampling using the slovin formula with a population of 274 students and analysis tools using SPSS 25. Finding/Results: Partially variable perceptions, motivation, and student knowledge about taxes do not have a significant effect on career choices in the field of taxation and the interest variable has a significant effect on career choices in the field of taxation. Conclusion: Always deepen your knowledge of taxation by participating in a series of activities such as seminars, training or doing internships in the tax industry","author":[{"dropping-particle":"","family":"Aini","given":"Nur","non-dropping-particle":"","parse-names":false,"suffix":""},{"dropping-particle":"","family":"Goenawan","given":"Yohanes August","non-dropping-particle":"","parse-names":false,"suffix":""}],"container-title":"Jurnal intelektual","id":"ITEM-1","issue":"2","issued":{"date-parts":[["2022"]]},"page":"118-131","title":"Pengaruh Persepsi, Motivasi, Minat dan Pengetahuan Mahasiswa Tentang Pajak terhadap Pilihan Berkarir Dibidang Perpajakan (Studi Empiris STIE Putra Perdana Indonesia Tangerang)","type":"article-journal","volume":"1"},"uris":["http://www.mendeley.com/documents/?uuid=5ece61d0-782e-467d-9567-d4cf92b6292f"]}],"mendeley":{"formattedCitation":"(Aini &amp; Goenawan, 2022)","plainTextFormattedCitation":"(Aini &amp; Goenawan, 2022)","previouslyFormattedCitation":"(Aini &amp; Goenawan, 2022)"},"properties":{"noteIndex":0},"schema":"https://github.com/citation-style-language/schema/raw/master/csl-citation.json"}</w:instrText>
      </w:r>
      <w:r w:rsidR="0097372A">
        <w:rPr>
          <w:rFonts w:ascii="Cambria" w:eastAsia="Cambria" w:hAnsi="Cambria" w:cs="Cambria"/>
          <w:bCs/>
          <w:iCs/>
          <w:color w:val="000000"/>
          <w:sz w:val="24"/>
          <w:szCs w:val="24"/>
        </w:rPr>
        <w:fldChar w:fldCharType="separate"/>
      </w:r>
      <w:r w:rsidR="0097372A" w:rsidRPr="0097372A">
        <w:rPr>
          <w:rFonts w:ascii="Cambria" w:eastAsia="Cambria" w:hAnsi="Cambria" w:cs="Cambria"/>
          <w:bCs/>
          <w:iCs/>
          <w:noProof/>
          <w:color w:val="000000"/>
          <w:sz w:val="24"/>
          <w:szCs w:val="24"/>
        </w:rPr>
        <w:t>(Aini &amp; Goenawan, 2022)</w:t>
      </w:r>
      <w:r w:rsidR="0097372A">
        <w:rPr>
          <w:rFonts w:ascii="Cambria" w:eastAsia="Cambria" w:hAnsi="Cambria" w:cs="Cambria"/>
          <w:bCs/>
          <w:iCs/>
          <w:color w:val="000000"/>
          <w:sz w:val="24"/>
          <w:szCs w:val="24"/>
        </w:rPr>
        <w:fldChar w:fldCharType="end"/>
      </w:r>
      <w:r w:rsidRPr="006E6551">
        <w:rPr>
          <w:rFonts w:ascii="Cambria" w:eastAsia="Cambria" w:hAnsi="Cambria" w:cs="Cambria"/>
          <w:bCs/>
          <w:iCs/>
          <w:color w:val="000000"/>
          <w:sz w:val="24"/>
          <w:szCs w:val="24"/>
        </w:rPr>
        <w:t>, minat adalah perhatian yang mencakup sifat-sifat emosional. Pendapat Salahudin di atas menyiratkan bahwa minat itu terkait dengan kesenangan atau kesakitan.</w:t>
      </w:r>
    </w:p>
    <w:p w14:paraId="296E926E" w14:textId="76E5EFBA" w:rsidR="006E6551" w:rsidRPr="006E6551" w:rsidRDefault="006E6551" w:rsidP="006E6551">
      <w:pPr>
        <w:pBdr>
          <w:top w:val="nil"/>
          <w:left w:val="nil"/>
          <w:bottom w:val="nil"/>
          <w:right w:val="nil"/>
          <w:between w:val="nil"/>
        </w:pBdr>
        <w:spacing w:after="60" w:line="276" w:lineRule="auto"/>
        <w:ind w:left="720" w:firstLine="720"/>
        <w:jc w:val="both"/>
        <w:rPr>
          <w:rFonts w:ascii="Cambria" w:eastAsia="Cambria" w:hAnsi="Cambria" w:cs="Cambria"/>
          <w:bCs/>
          <w:iCs/>
          <w:color w:val="000000"/>
          <w:sz w:val="24"/>
          <w:szCs w:val="24"/>
        </w:rPr>
      </w:pPr>
      <w:r w:rsidRPr="006E6551">
        <w:rPr>
          <w:rFonts w:ascii="Cambria" w:eastAsia="Cambria" w:hAnsi="Cambria" w:cs="Cambria"/>
          <w:bCs/>
          <w:iCs/>
          <w:color w:val="000000"/>
          <w:sz w:val="24"/>
          <w:szCs w:val="24"/>
        </w:rPr>
        <w:t xml:space="preserve">Dengan kata lain, minat dapat menjadi sebab atau unsur pendorong suatu tindakan. Beberapa ahli lain juga telah menjelaskan apa arti minat. Menurut </w:t>
      </w:r>
      <w:r w:rsidR="0097372A">
        <w:rPr>
          <w:rFonts w:ascii="Cambria" w:eastAsia="Cambria" w:hAnsi="Cambria" w:cs="Cambria"/>
          <w:bCs/>
          <w:iCs/>
          <w:color w:val="000000"/>
          <w:sz w:val="24"/>
          <w:szCs w:val="24"/>
        </w:rPr>
        <w:fldChar w:fldCharType="begin" w:fldLock="1"/>
      </w:r>
      <w:r w:rsidR="0097372A">
        <w:rPr>
          <w:rFonts w:ascii="Cambria" w:eastAsia="Cambria" w:hAnsi="Cambria" w:cs="Cambria"/>
          <w:bCs/>
          <w:iCs/>
          <w:color w:val="000000"/>
          <w:sz w:val="24"/>
          <w:szCs w:val="24"/>
        </w:rPr>
        <w:instrText>ADDIN CSL_CITATION {"citationItems":[{"id":"ITEM-1","itemData":{"author":[{"dropping-particle":"","family":"Di","given":"Berkarir","non-dropping-particle":"","parse-names":false,"suffix":""},{"dropping-particle":"","family":"Perpajakan","given":"Bidang","non-dropping-particle":"","parse-names":false,"suffix":""},{"dropping-particle":"","family":"Kemandirian","given":"Asas","non-dropping-particle":"","parse-names":false,"suffix":""}],"id":"ITEM-1","issue":"Accounting 2018","issued":{"date-parts":[["2021"]]},"page":"24-34","title":"PENGETAHUAN PAJAK, PERSEPSI MAHASISWA Terhadap MINAT MAHASISWA BERKARIR DI BIDANG PERPAJAKAN: ASAS KEMANDIRIAN SEBAGAI VARIABEL MODERASI","type":"article-journal"},"uris":["http://www.mendeley.com/documents/?uuid=81892b38-4e8e-4e8d-a3e4-0e0f2bf54a43"]}],"mendeley":{"formattedCitation":"(Di et al., 2021)","plainTextFormattedCitation":"(Di et al., 2021)","previouslyFormattedCitation":"(Di et al., 2021)"},"properties":{"noteIndex":0},"schema":"https://github.com/citation-style-language/schema/raw/master/csl-citation.json"}</w:instrText>
      </w:r>
      <w:r w:rsidR="0097372A">
        <w:rPr>
          <w:rFonts w:ascii="Cambria" w:eastAsia="Cambria" w:hAnsi="Cambria" w:cs="Cambria"/>
          <w:bCs/>
          <w:iCs/>
          <w:color w:val="000000"/>
          <w:sz w:val="24"/>
          <w:szCs w:val="24"/>
        </w:rPr>
        <w:fldChar w:fldCharType="separate"/>
      </w:r>
      <w:r w:rsidR="0097372A" w:rsidRPr="0097372A">
        <w:rPr>
          <w:rFonts w:ascii="Cambria" w:eastAsia="Cambria" w:hAnsi="Cambria" w:cs="Cambria"/>
          <w:bCs/>
          <w:iCs/>
          <w:noProof/>
          <w:color w:val="000000"/>
          <w:sz w:val="24"/>
          <w:szCs w:val="24"/>
        </w:rPr>
        <w:t xml:space="preserve">(Di et </w:t>
      </w:r>
      <w:r w:rsidR="0097372A" w:rsidRPr="0097372A">
        <w:rPr>
          <w:rFonts w:ascii="Cambria" w:eastAsia="Cambria" w:hAnsi="Cambria" w:cs="Cambria"/>
          <w:bCs/>
          <w:iCs/>
          <w:noProof/>
          <w:color w:val="000000"/>
          <w:sz w:val="24"/>
          <w:szCs w:val="24"/>
        </w:rPr>
        <w:lastRenderedPageBreak/>
        <w:t>al., 2021)</w:t>
      </w:r>
      <w:r w:rsidR="0097372A">
        <w:rPr>
          <w:rFonts w:ascii="Cambria" w:eastAsia="Cambria" w:hAnsi="Cambria" w:cs="Cambria"/>
          <w:bCs/>
          <w:iCs/>
          <w:color w:val="000000"/>
          <w:sz w:val="24"/>
          <w:szCs w:val="24"/>
        </w:rPr>
        <w:fldChar w:fldCharType="end"/>
      </w:r>
      <w:r w:rsidRPr="006E6551">
        <w:rPr>
          <w:rFonts w:ascii="Cambria" w:eastAsia="Cambria" w:hAnsi="Cambria" w:cs="Cambria"/>
          <w:bCs/>
          <w:iCs/>
          <w:color w:val="000000"/>
          <w:sz w:val="24"/>
          <w:szCs w:val="24"/>
        </w:rPr>
        <w:t>, minat adalah suatu keadaan dimana seseorang menaruh perhatian terhadap sesuatu sekaligus ingin mengetahui, memiliki, mempelajari, dan membuktikannya. Minat dikembangkan oleh lingkungan setelah belajar tentang suatu barang atau kehendak, dan disertai dengan partisipasi emosi yang terfokus pada objek tindakan tertentu. Menurut penjelasan di atas minat adalah suatu kesukaan atau perasaan tertarik terhadap suatu kegiatan yang ditunjukkan dengan suatu keinginan, kecenderungan untuk memperhatikan kegiatan tersebut tanpa ada yang menyuruh, dilakukan dengan kesadaran diri, dan diikuti dengan perasaan. kesenangan.</w:t>
      </w:r>
    </w:p>
    <w:p w14:paraId="11F453F7" w14:textId="77777777" w:rsidR="00A27BA3" w:rsidRPr="00DE0542" w:rsidRDefault="006E6551" w:rsidP="006E6551">
      <w:pPr>
        <w:pBdr>
          <w:top w:val="nil"/>
          <w:left w:val="nil"/>
          <w:bottom w:val="nil"/>
          <w:right w:val="nil"/>
          <w:between w:val="nil"/>
        </w:pBdr>
        <w:spacing w:after="60" w:line="276" w:lineRule="auto"/>
        <w:ind w:left="720" w:firstLine="720"/>
        <w:jc w:val="both"/>
        <w:rPr>
          <w:rFonts w:ascii="Cambria" w:eastAsia="Cambria" w:hAnsi="Cambria" w:cs="Cambria"/>
          <w:bCs/>
          <w:iCs/>
          <w:color w:val="000000"/>
          <w:sz w:val="24"/>
          <w:szCs w:val="24"/>
        </w:rPr>
      </w:pPr>
      <w:r w:rsidRPr="006E6551">
        <w:rPr>
          <w:rFonts w:ascii="Cambria" w:eastAsia="Cambria" w:hAnsi="Cambria" w:cs="Cambria"/>
          <w:bCs/>
          <w:iCs/>
          <w:color w:val="000000"/>
          <w:sz w:val="24"/>
          <w:szCs w:val="24"/>
        </w:rPr>
        <w:t>Minat merupakan aspek psikologis yang berfungsi sebagai sumber motivasi. Minat merangsang (memotivasi) seseorang untuk berperilaku sesuai dengan minatnya. Ada hubungan yang kuat antara kebutuhan, minat, dan motivasi. Ada sensasi kebutuhan, dan tuntutan pemenuhan permintaan, yang memicu minat. Pemenuhan ini diperoleh dengan tindakan (aktualisasi) kepentingan, yang pada akhirnya mendorong seseorang untuk melakukan sesuatu.</w:t>
      </w:r>
    </w:p>
    <w:p w14:paraId="6545E193" w14:textId="77777777" w:rsidR="00A27BA3" w:rsidRDefault="00DA6B6F">
      <w:pPr>
        <w:spacing w:after="60" w:line="276" w:lineRule="auto"/>
        <w:jc w:val="both"/>
        <w:rPr>
          <w:rFonts w:ascii="Cambria" w:eastAsia="Cambria" w:hAnsi="Cambria" w:cs="Cambria"/>
          <w:b/>
          <w:sz w:val="24"/>
          <w:szCs w:val="24"/>
        </w:rPr>
      </w:pPr>
      <w:r>
        <w:rPr>
          <w:rFonts w:ascii="Cambria" w:eastAsia="Cambria" w:hAnsi="Cambria" w:cs="Cambria"/>
          <w:b/>
          <w:sz w:val="24"/>
          <w:szCs w:val="24"/>
        </w:rPr>
        <w:t>Kerangka Penelitian</w:t>
      </w:r>
    </w:p>
    <w:p w14:paraId="44EBC31B" w14:textId="77777777" w:rsidR="00A27BA3" w:rsidRDefault="00DA6B6F">
      <w:pPr>
        <w:spacing w:after="60" w:line="276" w:lineRule="auto"/>
        <w:jc w:val="both"/>
        <w:rPr>
          <w:rFonts w:ascii="Cambria" w:eastAsia="Cambria" w:hAnsi="Cambria" w:cs="Cambria"/>
          <w:b/>
          <w:sz w:val="24"/>
          <w:szCs w:val="24"/>
        </w:rPr>
      </w:pPr>
      <w:r>
        <w:rPr>
          <w:rFonts w:ascii="Cambria" w:eastAsia="Cambria" w:hAnsi="Cambria" w:cs="Cambria"/>
          <w:sz w:val="24"/>
          <w:szCs w:val="24"/>
        </w:rPr>
        <w:t>Ini menggambarkan dan konsep pendekatan untuk menjawab pertanyaan penelitian dalam kerangka visual. Berikut adalah contoh kerangka kerja penelitian yang penulis harus sertakan secara opsional dalam makalah.</w:t>
      </w:r>
    </w:p>
    <w:p w14:paraId="23A8C292" w14:textId="77777777" w:rsidR="00A27BA3" w:rsidRDefault="00A27BA3">
      <w:pPr>
        <w:spacing w:after="0"/>
        <w:jc w:val="center"/>
        <w:rPr>
          <w:rFonts w:ascii="Cambria" w:eastAsia="Cambria" w:hAnsi="Cambria" w:cs="Cambria"/>
          <w:b/>
          <w:sz w:val="24"/>
          <w:szCs w:val="24"/>
        </w:rPr>
      </w:pPr>
    </w:p>
    <w:p w14:paraId="1C3D13C3" w14:textId="77777777" w:rsidR="00DE0542" w:rsidRDefault="00FE392A">
      <w:pPr>
        <w:spacing w:after="60" w:line="276" w:lineRule="auto"/>
        <w:jc w:val="center"/>
        <w:rPr>
          <w:rFonts w:ascii="Cambria" w:eastAsia="Cambria" w:hAnsi="Cambria" w:cs="Cambria"/>
          <w:b/>
          <w:sz w:val="24"/>
          <w:szCs w:val="24"/>
        </w:rPr>
      </w:pPr>
      <w:r>
        <w:rPr>
          <w:rFonts w:ascii="Cambria" w:eastAsia="Cambria" w:hAnsi="Cambria" w:cs="Cambria"/>
          <w:b/>
          <w:noProof/>
          <w:sz w:val="24"/>
          <w:szCs w:val="24"/>
          <w:lang w:eastAsia="en-US"/>
        </w:rPr>
        <mc:AlternateContent>
          <mc:Choice Requires="wpg">
            <w:drawing>
              <wp:anchor distT="0" distB="0" distL="114300" distR="114300" simplePos="0" relativeHeight="251669504" behindDoc="0" locked="0" layoutInCell="1" allowOverlap="1" wp14:anchorId="03200807" wp14:editId="13BE6716">
                <wp:simplePos x="0" y="0"/>
                <wp:positionH relativeFrom="column">
                  <wp:posOffset>295910</wp:posOffset>
                </wp:positionH>
                <wp:positionV relativeFrom="paragraph">
                  <wp:posOffset>90805</wp:posOffset>
                </wp:positionV>
                <wp:extent cx="3860800" cy="1593850"/>
                <wp:effectExtent l="0" t="0" r="25400" b="25400"/>
                <wp:wrapNone/>
                <wp:docPr id="7" name="Group 7"/>
                <wp:cNvGraphicFramePr/>
                <a:graphic xmlns:a="http://schemas.openxmlformats.org/drawingml/2006/main">
                  <a:graphicData uri="http://schemas.microsoft.com/office/word/2010/wordprocessingGroup">
                    <wpg:wgp>
                      <wpg:cNvGrpSpPr/>
                      <wpg:grpSpPr>
                        <a:xfrm>
                          <a:off x="0" y="0"/>
                          <a:ext cx="3860800" cy="1593850"/>
                          <a:chOff x="0" y="0"/>
                          <a:chExt cx="3860800" cy="1593850"/>
                        </a:xfrm>
                      </wpg:grpSpPr>
                      <wps:wsp>
                        <wps:cNvPr id="217" name="Text Box 2"/>
                        <wps:cNvSpPr txBox="1">
                          <a:spLocks noChangeArrowheads="1"/>
                        </wps:cNvSpPr>
                        <wps:spPr bwMode="auto">
                          <a:xfrm>
                            <a:off x="0" y="0"/>
                            <a:ext cx="1257300" cy="349250"/>
                          </a:xfrm>
                          <a:prstGeom prst="rect">
                            <a:avLst/>
                          </a:prstGeom>
                          <a:solidFill>
                            <a:srgbClr val="FFFFFF"/>
                          </a:solidFill>
                          <a:ln w="9525">
                            <a:solidFill>
                              <a:srgbClr val="000000"/>
                            </a:solidFill>
                            <a:miter lim="800000"/>
                            <a:headEnd/>
                            <a:tailEnd/>
                          </a:ln>
                        </wps:spPr>
                        <wps:txbx>
                          <w:txbxContent>
                            <w:p w14:paraId="23854733" w14:textId="77777777" w:rsidR="00DE0542" w:rsidRPr="00DE0542" w:rsidRDefault="00DE0542" w:rsidP="00DE0542">
                              <w:pPr>
                                <w:jc w:val="center"/>
                                <w:rPr>
                                  <w:b/>
                                  <w:bCs/>
                                </w:rPr>
                              </w:pPr>
                              <w:r w:rsidRPr="00DE0542">
                                <w:rPr>
                                  <w:b/>
                                  <w:bCs/>
                                </w:rPr>
                                <w:t>Sosialisasi</w:t>
                              </w:r>
                            </w:p>
                          </w:txbxContent>
                        </wps:txbx>
                        <wps:bodyPr rot="0" vert="horz" wrap="square" lIns="91440" tIns="45720" rIns="91440" bIns="45720" anchor="t" anchorCtr="0">
                          <a:noAutofit/>
                        </wps:bodyPr>
                      </wps:wsp>
                      <wps:wsp>
                        <wps:cNvPr id="1" name="Text Box 2"/>
                        <wps:cNvSpPr txBox="1">
                          <a:spLocks noChangeArrowheads="1"/>
                        </wps:cNvSpPr>
                        <wps:spPr bwMode="auto">
                          <a:xfrm>
                            <a:off x="25400" y="577850"/>
                            <a:ext cx="1257300" cy="349250"/>
                          </a:xfrm>
                          <a:prstGeom prst="rect">
                            <a:avLst/>
                          </a:prstGeom>
                          <a:solidFill>
                            <a:srgbClr val="FFFFFF"/>
                          </a:solidFill>
                          <a:ln w="9525">
                            <a:solidFill>
                              <a:srgbClr val="000000"/>
                            </a:solidFill>
                            <a:miter lim="800000"/>
                            <a:headEnd/>
                            <a:tailEnd/>
                          </a:ln>
                        </wps:spPr>
                        <wps:txbx>
                          <w:txbxContent>
                            <w:p w14:paraId="3AD554E9" w14:textId="77777777" w:rsidR="00DE0542" w:rsidRPr="00DE0542" w:rsidRDefault="00DE0542" w:rsidP="00DE0542">
                              <w:pPr>
                                <w:jc w:val="center"/>
                                <w:rPr>
                                  <w:b/>
                                  <w:bCs/>
                                </w:rPr>
                              </w:pPr>
                              <w:r>
                                <w:rPr>
                                  <w:b/>
                                  <w:bCs/>
                                </w:rPr>
                                <w:t>Pengetahuan</w:t>
                              </w:r>
                            </w:p>
                          </w:txbxContent>
                        </wps:txbx>
                        <wps:bodyPr rot="0" vert="horz" wrap="square" lIns="91440" tIns="45720" rIns="91440" bIns="45720" anchor="t" anchorCtr="0">
                          <a:noAutofit/>
                        </wps:bodyPr>
                      </wps:wsp>
                      <wps:wsp>
                        <wps:cNvPr id="2" name="Text Box 2"/>
                        <wps:cNvSpPr txBox="1">
                          <a:spLocks noChangeArrowheads="1"/>
                        </wps:cNvSpPr>
                        <wps:spPr bwMode="auto">
                          <a:xfrm>
                            <a:off x="44450" y="1244600"/>
                            <a:ext cx="1257300" cy="349250"/>
                          </a:xfrm>
                          <a:prstGeom prst="rect">
                            <a:avLst/>
                          </a:prstGeom>
                          <a:solidFill>
                            <a:srgbClr val="FFFFFF"/>
                          </a:solidFill>
                          <a:ln w="9525">
                            <a:solidFill>
                              <a:srgbClr val="000000"/>
                            </a:solidFill>
                            <a:miter lim="800000"/>
                            <a:headEnd/>
                            <a:tailEnd/>
                          </a:ln>
                        </wps:spPr>
                        <wps:txbx>
                          <w:txbxContent>
                            <w:p w14:paraId="70BDFB93" w14:textId="77777777" w:rsidR="00DE0542" w:rsidRPr="00DE0542" w:rsidRDefault="00DE0542" w:rsidP="00DE0542">
                              <w:pPr>
                                <w:jc w:val="center"/>
                                <w:rPr>
                                  <w:b/>
                                  <w:bCs/>
                                </w:rPr>
                              </w:pPr>
                              <w:r>
                                <w:rPr>
                                  <w:b/>
                                  <w:bCs/>
                                </w:rPr>
                                <w:t>Pengetahuan</w:t>
                              </w:r>
                            </w:p>
                          </w:txbxContent>
                        </wps:txbx>
                        <wps:bodyPr rot="0" vert="horz" wrap="square" lIns="91440" tIns="45720" rIns="91440" bIns="45720" anchor="t" anchorCtr="0">
                          <a:noAutofit/>
                        </wps:bodyPr>
                      </wps:wsp>
                      <wps:wsp>
                        <wps:cNvPr id="3" name="Text Box 3"/>
                        <wps:cNvSpPr txBox="1">
                          <a:spLocks noChangeArrowheads="1"/>
                        </wps:cNvSpPr>
                        <wps:spPr bwMode="auto">
                          <a:xfrm>
                            <a:off x="2603500" y="552449"/>
                            <a:ext cx="1257300" cy="523875"/>
                          </a:xfrm>
                          <a:prstGeom prst="rect">
                            <a:avLst/>
                          </a:prstGeom>
                          <a:solidFill>
                            <a:srgbClr val="FFFFFF"/>
                          </a:solidFill>
                          <a:ln w="9525">
                            <a:solidFill>
                              <a:srgbClr val="000000"/>
                            </a:solidFill>
                            <a:miter lim="800000"/>
                            <a:headEnd/>
                            <a:tailEnd/>
                          </a:ln>
                        </wps:spPr>
                        <wps:txbx>
                          <w:txbxContent>
                            <w:p w14:paraId="36E4E41B" w14:textId="46E81406" w:rsidR="00FE392A" w:rsidRPr="00DE0542" w:rsidRDefault="00FE392A" w:rsidP="00FE392A">
                              <w:pPr>
                                <w:jc w:val="center"/>
                                <w:rPr>
                                  <w:b/>
                                  <w:bCs/>
                                </w:rPr>
                              </w:pPr>
                              <w:r>
                                <w:rPr>
                                  <w:b/>
                                  <w:bCs/>
                                </w:rPr>
                                <w:t>Minat Maha</w:t>
                              </w:r>
                              <w:r w:rsidR="0097372A">
                                <w:rPr>
                                  <w:b/>
                                  <w:bCs/>
                                </w:rPr>
                                <w:t>mahasiswa</w:t>
                              </w:r>
                            </w:p>
                          </w:txbxContent>
                        </wps:txbx>
                        <wps:bodyPr rot="0" vert="horz" wrap="square" lIns="91440" tIns="45720" rIns="91440" bIns="45720" anchor="t" anchorCtr="0">
                          <a:noAutofit/>
                        </wps:bodyPr>
                      </wps:wsp>
                      <wps:wsp>
                        <wps:cNvPr id="4" name="Straight Arrow Connector 4"/>
                        <wps:cNvCnPr/>
                        <wps:spPr>
                          <a:xfrm>
                            <a:off x="1257300" y="120650"/>
                            <a:ext cx="1314450" cy="609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 name="Straight Arrow Connector 5"/>
                        <wps:cNvCnPr/>
                        <wps:spPr>
                          <a:xfrm>
                            <a:off x="1301750" y="692150"/>
                            <a:ext cx="1225550" cy="63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 name="Straight Arrow Connector 6"/>
                        <wps:cNvCnPr/>
                        <wps:spPr>
                          <a:xfrm flipV="1">
                            <a:off x="1295400" y="831850"/>
                            <a:ext cx="1250950" cy="546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03200807" id="Group 7" o:spid="_x0000_s1026" style="position:absolute;left:0;text-align:left;margin-left:23.3pt;margin-top:7.15pt;width:304pt;height:125.5pt;z-index:251669504" coordsize="38608,15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">
                <v:shapetype id="_x0000_t202" coordsize="21600,21600" o:spt="202" path="m,l,21600r21600,l21600,xe">
                  <v:stroke joinstyle="miter"/>
                  <v:path gradientshapeok="t" o:connecttype="rect"/>
                </v:shapetype>
                <v:shape id="Text Box 2" o:spid="_x0000_s1027" type="#_x0000_t202" style="position:absolute;width:12573;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T88UA&#10;AADcAAAADwAAAGRycy9kb3ducmV2LnhtbESPT2sCMRTE7wW/Q3hCL0Wz2uKf1ShSaNGbVdHrY/Pc&#10;Xdy8rEm6rt/eCIUeh5n5DTNftqYSDTlfWlYw6CcgiDOrS84VHPZfvQkIH5A1VpZJwZ08LBedlzmm&#10;2t74h5pdyEWEsE9RQRFCnUrps4IM+r6tiaN3ts5giNLlUju8Rbip5DBJRtJgyXGhwJo+C8ouu1+j&#10;YPKxbk5+8749ZqNzNQ1v4+b76pR67barGYhAbfgP/7XXWsFwMIbn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VPzxQAAANwAAAAPAAAAAAAAAAAAAAAAAJgCAABkcnMv&#10;ZG93bnJldi54bWxQSwUGAAAAAAQABAD1AAAAigMAAAAA&#10;">
                  <v:textbox>
                    <w:txbxContent>
                      <w:p w14:paraId="23854733" w14:textId="77777777" w:rsidR="00DE0542" w:rsidRPr="00DE0542" w:rsidRDefault="00DE0542" w:rsidP="00DE0542">
                        <w:pPr>
                          <w:jc w:val="center"/>
                          <w:rPr>
                            <w:b/>
                            <w:bCs/>
                          </w:rPr>
                        </w:pPr>
                        <w:r w:rsidRPr="00DE0542">
                          <w:rPr>
                            <w:b/>
                            <w:bCs/>
                          </w:rPr>
                          <w:t>Sosialisasi</w:t>
                        </w:r>
                      </w:p>
                    </w:txbxContent>
                  </v:textbox>
                </v:shape>
                <v:shape id="Text Box 2" o:spid="_x0000_s1028" type="#_x0000_t202" style="position:absolute;left:254;top:5778;width:12573;height:3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14:paraId="3AD554E9" w14:textId="77777777" w:rsidR="00DE0542" w:rsidRPr="00DE0542" w:rsidRDefault="00DE0542" w:rsidP="00DE0542">
                        <w:pPr>
                          <w:jc w:val="center"/>
                          <w:rPr>
                            <w:b/>
                            <w:bCs/>
                          </w:rPr>
                        </w:pPr>
                        <w:r>
                          <w:rPr>
                            <w:b/>
                            <w:bCs/>
                          </w:rPr>
                          <w:t>Pengetahuan</w:t>
                        </w:r>
                      </w:p>
                    </w:txbxContent>
                  </v:textbox>
                </v:shape>
                <v:shape id="Text Box 2" o:spid="_x0000_s1029" type="#_x0000_t202" style="position:absolute;left:444;top:12446;width:12573;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14:paraId="70BDFB93" w14:textId="77777777" w:rsidR="00DE0542" w:rsidRPr="00DE0542" w:rsidRDefault="00DE0542" w:rsidP="00DE0542">
                        <w:pPr>
                          <w:jc w:val="center"/>
                          <w:rPr>
                            <w:b/>
                            <w:bCs/>
                          </w:rPr>
                        </w:pPr>
                        <w:r>
                          <w:rPr>
                            <w:b/>
                            <w:bCs/>
                          </w:rPr>
                          <w:t>Pengetahuan</w:t>
                        </w:r>
                      </w:p>
                    </w:txbxContent>
                  </v:textbox>
                </v:shape>
                <v:shape id="Text Box 3" o:spid="_x0000_s1030" type="#_x0000_t202" style="position:absolute;left:26035;top:5524;width:12573;height:5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14:paraId="36E4E41B" w14:textId="46E81406" w:rsidR="00FE392A" w:rsidRPr="00DE0542" w:rsidRDefault="00FE392A" w:rsidP="00FE392A">
                        <w:pPr>
                          <w:jc w:val="center"/>
                          <w:rPr>
                            <w:b/>
                            <w:bCs/>
                          </w:rPr>
                        </w:pPr>
                        <w:r>
                          <w:rPr>
                            <w:b/>
                            <w:bCs/>
                          </w:rPr>
                          <w:t>Minat Maha</w:t>
                        </w:r>
                        <w:r w:rsidR="0097372A">
                          <w:rPr>
                            <w:b/>
                            <w:bCs/>
                          </w:rPr>
                          <w:t>mahasiswa</w:t>
                        </w:r>
                      </w:p>
                    </w:txbxContent>
                  </v:textbox>
                </v:shape>
                <v:shapetype id="_x0000_t32" coordsize="21600,21600" o:spt="32" o:oned="t" path="m,l21600,21600e" filled="f">
                  <v:path arrowok="t" fillok="f" o:connecttype="none"/>
                  <o:lock v:ext="edit" shapetype="t"/>
                </v:shapetype>
                <v:shape id="Straight Arrow Connector 4" o:spid="_x0000_s1031" type="#_x0000_t32" style="position:absolute;left:12573;top:1206;width:13144;height:6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i6/8IAAADaAAAADwAAAGRycy9kb3ducmV2LnhtbESPT4vCMBTE7wt+h/AEb2uqqKy1qfgH&#10;wd3bqnh+NM+22LzUJtr67TeCsMdhZn7DJMvOVOJBjSstKxgNIxDEmdUl5wpOx93nFwjnkTVWlknB&#10;kxws095HgrG2Lf/S4+BzESDsYlRQeF/HUrqsIINuaGvi4F1sY9AH2eRSN9gGuKnkOIpm0mDJYaHA&#10;mjYFZdfD3Sho0Z/n61V+26y33/tuWt1mx9OPUoN+t1qA8NT5//C7vdcKJvC6Em6AT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ui6/8IAAADaAAAADwAAAAAAAAAAAAAA&#10;AAChAgAAZHJzL2Rvd25yZXYueG1sUEsFBgAAAAAEAAQA+QAAAJADAAAAAA==&#10;" strokecolor="black [3200]" strokeweight=".5pt">
                  <v:stroke endarrow="block" joinstyle="miter"/>
                </v:shape>
                <v:shape id="Straight Arrow Connector 5" o:spid="_x0000_s1032" type="#_x0000_t32" style="position:absolute;left:13017;top:6921;width:12256;height:6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QfZMMAAADaAAAADwAAAGRycy9kb3ducmV2LnhtbESPzWrDMBCE74W+g9hCbo2cgE3rRjb5&#10;IeDm1iT0vFhb28RaOZZiO29fBQo9DjPzDbPKJ9OKgXrXWFawmEcgiEurG64UnE/71zcQziNrbC2T&#10;gjs5yLPnpxWm2o78RcPRVyJA2KWooPa+S6V0ZU0G3dx2xMH7sb1BH2RfSd3jGOCmlcsoSqTBhsNC&#10;jR1tayovx5tRMKL/ft+sq+t2s/sspri9JqfzQanZy7T+AOFp8v/hv3ahFcTwuBJugM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kH2TDAAAA2gAAAA8AAAAAAAAAAAAA&#10;AAAAoQIAAGRycy9kb3ducmV2LnhtbFBLBQYAAAAABAAEAPkAAACRAwAAAAA=&#10;" strokecolor="black [3200]" strokeweight=".5pt">
                  <v:stroke endarrow="block" joinstyle="miter"/>
                </v:shape>
                <v:shape id="Straight Arrow Connector 6" o:spid="_x0000_s1033" type="#_x0000_t32" style="position:absolute;left:12954;top:8318;width:12509;height:54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fiicMAAADaAAAADwAAAGRycy9kb3ducmV2LnhtbESPQWvCQBSE7wX/w/IKXopuakQldRWp&#10;SHs1FdHbM/uahGbfhrxV03/fLRR6HGbmG2a57l2jbtRJ7dnA8zgBRVx4W3Np4PCxGy1ASUC22Hgm&#10;A98ksF4NHpaYWX/nPd3yUKoIYcnQQBVCm2ktRUUOZexb4uh9+s5hiLIrte3wHuGu0ZMkmWmHNceF&#10;Clt6raj4yq/OQBqmMtlPT3PJz+XlyW7TVI5vxgwf+80LqEB9+A//td+tgRn8Xok3QK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n4onDAAAA2gAAAA8AAAAAAAAAAAAA&#10;AAAAoQIAAGRycy9kb3ducmV2LnhtbFBLBQYAAAAABAAEAPkAAACRAwAAAAA=&#10;" strokecolor="black [3200]" strokeweight=".5pt">
                  <v:stroke endarrow="block" joinstyle="miter"/>
                </v:shape>
              </v:group>
            </w:pict>
          </mc:Fallback>
        </mc:AlternateContent>
      </w:r>
    </w:p>
    <w:p w14:paraId="6E2BE692" w14:textId="77777777" w:rsidR="00DE0542" w:rsidRDefault="00DE0542">
      <w:pPr>
        <w:spacing w:after="60" w:line="276" w:lineRule="auto"/>
        <w:jc w:val="center"/>
        <w:rPr>
          <w:rFonts w:ascii="Cambria" w:eastAsia="Cambria" w:hAnsi="Cambria" w:cs="Cambria"/>
          <w:b/>
          <w:sz w:val="24"/>
          <w:szCs w:val="24"/>
        </w:rPr>
      </w:pPr>
    </w:p>
    <w:p w14:paraId="25395ADD" w14:textId="77777777" w:rsidR="00DE0542" w:rsidRDefault="00DE0542" w:rsidP="00DE0542">
      <w:pPr>
        <w:spacing w:after="60" w:line="276" w:lineRule="auto"/>
        <w:rPr>
          <w:rFonts w:ascii="Cambria" w:eastAsia="Cambria" w:hAnsi="Cambria" w:cs="Cambria"/>
          <w:b/>
          <w:sz w:val="24"/>
          <w:szCs w:val="24"/>
        </w:rPr>
      </w:pPr>
    </w:p>
    <w:p w14:paraId="245F9273" w14:textId="77777777" w:rsidR="00DE0542" w:rsidRDefault="00DE0542">
      <w:pPr>
        <w:spacing w:after="60" w:line="276" w:lineRule="auto"/>
        <w:jc w:val="center"/>
        <w:rPr>
          <w:rFonts w:ascii="Cambria" w:eastAsia="Cambria" w:hAnsi="Cambria" w:cs="Cambria"/>
          <w:b/>
          <w:sz w:val="24"/>
          <w:szCs w:val="24"/>
        </w:rPr>
      </w:pPr>
    </w:p>
    <w:p w14:paraId="0182082B" w14:textId="77777777" w:rsidR="00DE0542" w:rsidRDefault="00DE0542">
      <w:pPr>
        <w:spacing w:after="60" w:line="276" w:lineRule="auto"/>
        <w:jc w:val="center"/>
        <w:rPr>
          <w:rFonts w:ascii="Cambria" w:eastAsia="Cambria" w:hAnsi="Cambria" w:cs="Cambria"/>
          <w:b/>
          <w:sz w:val="24"/>
          <w:szCs w:val="24"/>
        </w:rPr>
      </w:pPr>
    </w:p>
    <w:p w14:paraId="74800A8C" w14:textId="77777777" w:rsidR="00DE0542" w:rsidRDefault="00DE0542">
      <w:pPr>
        <w:spacing w:after="60" w:line="276" w:lineRule="auto"/>
        <w:jc w:val="center"/>
        <w:rPr>
          <w:rFonts w:ascii="Cambria" w:eastAsia="Cambria" w:hAnsi="Cambria" w:cs="Cambria"/>
          <w:b/>
          <w:sz w:val="24"/>
          <w:szCs w:val="24"/>
        </w:rPr>
      </w:pPr>
    </w:p>
    <w:p w14:paraId="6F218E26" w14:textId="77777777" w:rsidR="00DE0542" w:rsidRDefault="00DE0542">
      <w:pPr>
        <w:spacing w:after="60" w:line="276" w:lineRule="auto"/>
        <w:jc w:val="center"/>
        <w:rPr>
          <w:rFonts w:ascii="Cambria" w:eastAsia="Cambria" w:hAnsi="Cambria" w:cs="Cambria"/>
          <w:b/>
          <w:sz w:val="24"/>
          <w:szCs w:val="24"/>
        </w:rPr>
      </w:pPr>
    </w:p>
    <w:p w14:paraId="755745C2" w14:textId="77777777" w:rsidR="00DE0542" w:rsidRDefault="00DE0542">
      <w:pPr>
        <w:spacing w:after="60" w:line="276" w:lineRule="auto"/>
        <w:jc w:val="center"/>
        <w:rPr>
          <w:rFonts w:ascii="Cambria" w:eastAsia="Cambria" w:hAnsi="Cambria" w:cs="Cambria"/>
          <w:b/>
          <w:sz w:val="24"/>
          <w:szCs w:val="24"/>
        </w:rPr>
      </w:pPr>
    </w:p>
    <w:p w14:paraId="301C0A5B" w14:textId="77777777" w:rsidR="00A27BA3" w:rsidRDefault="00DA6B6F">
      <w:pPr>
        <w:spacing w:after="60" w:line="276" w:lineRule="auto"/>
        <w:jc w:val="center"/>
        <w:rPr>
          <w:rFonts w:ascii="Cambria" w:eastAsia="Cambria" w:hAnsi="Cambria" w:cs="Cambria"/>
          <w:b/>
          <w:sz w:val="24"/>
          <w:szCs w:val="24"/>
        </w:rPr>
      </w:pPr>
      <w:r>
        <w:rPr>
          <w:rFonts w:ascii="Cambria" w:eastAsia="Cambria" w:hAnsi="Cambria" w:cs="Cambria"/>
          <w:b/>
          <w:sz w:val="24"/>
          <w:szCs w:val="24"/>
        </w:rPr>
        <w:t>Gambar 1</w:t>
      </w:r>
    </w:p>
    <w:p w14:paraId="3EC607AC" w14:textId="77777777" w:rsidR="00A27BA3" w:rsidRDefault="00DA6B6F">
      <w:pPr>
        <w:spacing w:after="60" w:line="276" w:lineRule="auto"/>
        <w:jc w:val="center"/>
        <w:rPr>
          <w:rFonts w:ascii="Cambria" w:eastAsia="Cambria" w:hAnsi="Cambria" w:cs="Cambria"/>
          <w:b/>
          <w:sz w:val="24"/>
          <w:szCs w:val="24"/>
        </w:rPr>
      </w:pPr>
      <w:r>
        <w:rPr>
          <w:rFonts w:ascii="Cambria" w:eastAsia="Cambria" w:hAnsi="Cambria" w:cs="Cambria"/>
          <w:b/>
          <w:sz w:val="24"/>
          <w:szCs w:val="24"/>
        </w:rPr>
        <w:t>Kerangka Penelitian (Sumber, 2023)</w:t>
      </w:r>
    </w:p>
    <w:p w14:paraId="4E211751" w14:textId="77777777" w:rsidR="00A27BA3" w:rsidRDefault="00A27BA3">
      <w:pPr>
        <w:spacing w:after="0"/>
        <w:jc w:val="both"/>
        <w:rPr>
          <w:rFonts w:ascii="Cambria" w:eastAsia="Cambria" w:hAnsi="Cambria" w:cs="Cambria"/>
          <w:b/>
          <w:sz w:val="24"/>
          <w:szCs w:val="24"/>
        </w:rPr>
      </w:pPr>
    </w:p>
    <w:p w14:paraId="6688635A" w14:textId="77777777" w:rsidR="00A27BA3" w:rsidRDefault="00DA6B6F">
      <w:pPr>
        <w:spacing w:after="60" w:line="276" w:lineRule="auto"/>
        <w:rPr>
          <w:rFonts w:ascii="Cambria" w:eastAsia="Cambria" w:hAnsi="Cambria" w:cs="Cambria"/>
          <w:sz w:val="24"/>
          <w:szCs w:val="24"/>
        </w:rPr>
      </w:pPr>
      <w:r>
        <w:rPr>
          <w:rFonts w:ascii="Cambria" w:eastAsia="Cambria" w:hAnsi="Cambria" w:cs="Cambria"/>
          <w:b/>
          <w:sz w:val="24"/>
          <w:szCs w:val="24"/>
        </w:rPr>
        <w:t>METODOLOGI</w:t>
      </w:r>
    </w:p>
    <w:p w14:paraId="1958673D" w14:textId="72D80549" w:rsidR="006E6551" w:rsidRPr="006E6551" w:rsidRDefault="006E6551" w:rsidP="006E6551">
      <w:pPr>
        <w:spacing w:after="60" w:line="276" w:lineRule="auto"/>
        <w:ind w:firstLine="720"/>
        <w:jc w:val="both"/>
        <w:rPr>
          <w:rFonts w:ascii="Cambria" w:eastAsia="Cambria" w:hAnsi="Cambria" w:cs="Cambria"/>
          <w:sz w:val="24"/>
          <w:szCs w:val="24"/>
        </w:rPr>
      </w:pPr>
      <w:r w:rsidRPr="006E6551">
        <w:rPr>
          <w:rFonts w:ascii="Cambria" w:eastAsia="Cambria" w:hAnsi="Cambria" w:cs="Cambria"/>
          <w:sz w:val="24"/>
          <w:szCs w:val="24"/>
        </w:rPr>
        <w:t xml:space="preserve">Dalam penelitian ini, metodologi penelitian kualitatif digunakan. Pendekatan kualitatif menurut </w:t>
      </w:r>
      <w:r w:rsidR="0097372A">
        <w:rPr>
          <w:rFonts w:ascii="Cambria" w:eastAsia="Cambria" w:hAnsi="Cambria" w:cs="Cambria"/>
          <w:sz w:val="24"/>
          <w:szCs w:val="24"/>
        </w:rPr>
        <w:fldChar w:fldCharType="begin" w:fldLock="1"/>
      </w:r>
      <w:r w:rsidR="0097372A">
        <w:rPr>
          <w:rFonts w:ascii="Cambria" w:eastAsia="Cambria" w:hAnsi="Cambria" w:cs="Cambria"/>
          <w:sz w:val="24"/>
          <w:szCs w:val="24"/>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approach.","author":[{"dropping-particle":"","family":"Soegiyono","given":"","non-dropping-particle":"","parse-names":false,"suffix":""}],"container-title":"Bandung: Alfabeta","id":"ITEM-1","issued":{"date-parts":[["2018"]]},"title":"Metode Penelitian Kuantitatif, Kualitatif dan R&amp;D","type":"chapter"},"uris":["http://www.mendeley.com/documents/?uuid=71e182bb-e231-4135-a93c-2272ca9dd0a2"]}],"mendeley":{"formattedCitation":"(Soegiyono, 2018)","plainTextFormattedCitation":"(Soegiyono, 2018)","previouslyFormattedCitation":"(Soegiyono, 2018)"},"properties":{"noteIndex":0},"schema":"https://github.com/citation-style-language/schema/raw/master/csl-citation.json"}</w:instrText>
      </w:r>
      <w:r w:rsidR="0097372A">
        <w:rPr>
          <w:rFonts w:ascii="Cambria" w:eastAsia="Cambria" w:hAnsi="Cambria" w:cs="Cambria"/>
          <w:sz w:val="24"/>
          <w:szCs w:val="24"/>
        </w:rPr>
        <w:fldChar w:fldCharType="separate"/>
      </w:r>
      <w:r w:rsidR="0097372A" w:rsidRPr="0097372A">
        <w:rPr>
          <w:rFonts w:ascii="Cambria" w:eastAsia="Cambria" w:hAnsi="Cambria" w:cs="Cambria"/>
          <w:noProof/>
          <w:sz w:val="24"/>
          <w:szCs w:val="24"/>
        </w:rPr>
        <w:t>(Soegiyono, 2018)</w:t>
      </w:r>
      <w:r w:rsidR="0097372A">
        <w:rPr>
          <w:rFonts w:ascii="Cambria" w:eastAsia="Cambria" w:hAnsi="Cambria" w:cs="Cambria"/>
          <w:sz w:val="24"/>
          <w:szCs w:val="24"/>
        </w:rPr>
        <w:fldChar w:fldCharType="end"/>
      </w:r>
      <w:r w:rsidRPr="006E6551">
        <w:rPr>
          <w:rFonts w:ascii="Cambria" w:eastAsia="Cambria" w:hAnsi="Cambria" w:cs="Cambria"/>
          <w:sz w:val="24"/>
          <w:szCs w:val="24"/>
        </w:rPr>
        <w:t xml:space="preserve">adalah metodologi penelitian yang digunakan untuk mendeskripsikan dan mempelajari fenomena, peristiwa, kepercayaan, sikap, dan aktivitas sosial baik secara individu maupun kelompok. </w:t>
      </w:r>
      <w:r w:rsidR="0097372A">
        <w:rPr>
          <w:rFonts w:ascii="Cambria" w:eastAsia="Cambria" w:hAnsi="Cambria" w:cs="Cambria"/>
          <w:sz w:val="24"/>
          <w:szCs w:val="24"/>
        </w:rPr>
        <w:fldChar w:fldCharType="begin" w:fldLock="1"/>
      </w:r>
      <w:r w:rsidR="0097372A">
        <w:rPr>
          <w:rFonts w:ascii="Cambria" w:eastAsia="Cambria" w:hAnsi="Cambria" w:cs="Cambria"/>
          <w:sz w:val="24"/>
          <w:szCs w:val="24"/>
        </w:rPr>
        <w:instrText>ADDIN CSL_CITATION {"citationItems":[{"id":"ITEM-1","itemData":{"abstract":"The Mexican transition zone is the area where the Neotropical and Nearctic regions overlap (Figure 4.1). In its broad sense, it comprises southwestern United States, Mexico, and most of Central America (Halffter, 1987; Zunino and Halffter, 1988; Gutiérrez-Velázquez et al., 2013). It is partially coincident with the areas named Megamexico 3 (Rzedowski, 1991) and biotic Mesoamerica (Ríos-Muñoz, 2013). The Mexican transition zone in the strict sense, which is followed in this book, corresponds to the moderate to high elevation highlands of Mexico, Guatemala, Honduras, El Salvador, and Nicaragua (Morrone, 2006, 2010b, 2014b, 2015c; Espinosa Organista et al., 2008).","author":[{"dropping-particle":"","family":"Jonathan","given":"","non-dropping-particle":"","parse-names":false,"suffix":""},{"dropping-particle":"","family":"Sarwono","given":"","non-dropping-particle":"","parse-names":false,"suffix":""}],"id":"ITEM-1","issued":{"date-parts":[["2018"]]},"title":"Meode Penelitian Kuantitatif dan Kualitatif","type":"book"},"uris":["http://www.mendeley.com/documents/?uuid=b3520be0-e00e-4234-a06f-c0416c87746f"]}],"mendeley":{"formattedCitation":"(Jonathan &amp; Sarwono, 2018)","plainTextFormattedCitation":"(Jonathan &amp; Sarwono, 2018)","previouslyFormattedCitation":"(Jonathan &amp; Sarwono, 2018)"},"properties":{"noteIndex":0},"schema":"https://github.com/citation-style-language/schema/raw/master/csl-citation.json"}</w:instrText>
      </w:r>
      <w:r w:rsidR="0097372A">
        <w:rPr>
          <w:rFonts w:ascii="Cambria" w:eastAsia="Cambria" w:hAnsi="Cambria" w:cs="Cambria"/>
          <w:sz w:val="24"/>
          <w:szCs w:val="24"/>
        </w:rPr>
        <w:fldChar w:fldCharType="separate"/>
      </w:r>
      <w:r w:rsidR="0097372A" w:rsidRPr="0097372A">
        <w:rPr>
          <w:rFonts w:ascii="Cambria" w:eastAsia="Cambria" w:hAnsi="Cambria" w:cs="Cambria"/>
          <w:noProof/>
          <w:sz w:val="24"/>
          <w:szCs w:val="24"/>
        </w:rPr>
        <w:t>(Jonathan &amp; Sarwono, 2018)</w:t>
      </w:r>
      <w:r w:rsidR="0097372A">
        <w:rPr>
          <w:rFonts w:ascii="Cambria" w:eastAsia="Cambria" w:hAnsi="Cambria" w:cs="Cambria"/>
          <w:sz w:val="24"/>
          <w:szCs w:val="24"/>
        </w:rPr>
        <w:fldChar w:fldCharType="end"/>
      </w:r>
      <w:r w:rsidRPr="006E6551">
        <w:rPr>
          <w:rFonts w:ascii="Cambria" w:eastAsia="Cambria" w:hAnsi="Cambria" w:cs="Cambria"/>
          <w:sz w:val="24"/>
          <w:szCs w:val="24"/>
        </w:rPr>
        <w:t xml:space="preserve">mendefinisikan pendekatan kualitatif sebagai “kumpulan metode untuk menganalisis dan memahami lebih dalam makna dari beberapa individu atau kelompok yang dianggap sebagai masalah kemanusiaan atau sosial.” Pendekatan penelitian eksploratif digunakan dalam penelitian kualitatif ini. Eksplorasi merupakan suatu bentuk penyelidikan pendahuluan dari suatu </w:t>
      </w:r>
      <w:r w:rsidRPr="006E6551">
        <w:rPr>
          <w:rFonts w:ascii="Cambria" w:eastAsia="Cambria" w:hAnsi="Cambria" w:cs="Cambria"/>
          <w:sz w:val="24"/>
          <w:szCs w:val="24"/>
        </w:rPr>
        <w:lastRenderedPageBreak/>
        <w:t xml:space="preserve">bidang yang luas. Ini sangat penting dalam penelitian eksplorasi karena memberikan dasar yang kuat untuk penyelidikan lebih lanjut. </w:t>
      </w:r>
    </w:p>
    <w:p w14:paraId="6F7D4614" w14:textId="4F2ABFB1" w:rsidR="00FE392A" w:rsidRPr="00FE392A" w:rsidRDefault="0097372A" w:rsidP="006E6551">
      <w:pPr>
        <w:spacing w:after="60" w:line="276" w:lineRule="auto"/>
        <w:ind w:firstLine="720"/>
        <w:jc w:val="both"/>
        <w:rPr>
          <w:rFonts w:ascii="Cambria" w:eastAsia="Cambria" w:hAnsi="Cambria" w:cs="Cambria"/>
          <w:sz w:val="24"/>
          <w:szCs w:val="24"/>
        </w:rPr>
      </w:pPr>
      <w:r>
        <w:rPr>
          <w:rFonts w:ascii="Cambria" w:eastAsia="Cambria" w:hAnsi="Cambria" w:cs="Cambria"/>
          <w:sz w:val="24"/>
          <w:szCs w:val="24"/>
        </w:rPr>
        <w:fldChar w:fldCharType="begin" w:fldLock="1"/>
      </w:r>
      <w:r>
        <w:rPr>
          <w:rFonts w:ascii="Cambria" w:eastAsia="Cambria" w:hAnsi="Cambria" w:cs="Cambria"/>
          <w:sz w:val="24"/>
          <w:szCs w:val="24"/>
        </w:rPr>
        <w:instrText>ADDIN CSL_CITATION {"citationItems":[{"id":"ITEM-1","itemData":{"author":[{"dropping-particle":"","family":"Sugiyono","given":"","non-dropping-particle":"","parse-names":false,"suffix":""}],"container-title":"Bandung: Alfabeta","id":"ITEM-1","issued":{"date-parts":[["2017"]]},"title":"Metode Penelitian Kuantitatif, dan Kualitatif jilid 2","type":"chapter"},"uris":["http://www.mendeley.com/documents/?uuid=9a45c557-fad8-427a-9d12-b9385400bfe9"]}],"mendeley":{"formattedCitation":"(Sugiyono, 2017)","plainTextFormattedCitation":"(Sugiyono, 2017)","previouslyFormattedCitation":"(Sugiyono, 2017)"},"properties":{"noteIndex":0},"schema":"https://github.com/citation-style-language/schema/raw/master/csl-citation.json"}</w:instrText>
      </w:r>
      <w:r>
        <w:rPr>
          <w:rFonts w:ascii="Cambria" w:eastAsia="Cambria" w:hAnsi="Cambria" w:cs="Cambria"/>
          <w:sz w:val="24"/>
          <w:szCs w:val="24"/>
        </w:rPr>
        <w:fldChar w:fldCharType="separate"/>
      </w:r>
      <w:r w:rsidRPr="0097372A">
        <w:rPr>
          <w:rFonts w:ascii="Cambria" w:eastAsia="Cambria" w:hAnsi="Cambria" w:cs="Cambria"/>
          <w:noProof/>
          <w:sz w:val="24"/>
          <w:szCs w:val="24"/>
        </w:rPr>
        <w:t>(Sugiyono, 2017)</w:t>
      </w:r>
      <w:r>
        <w:rPr>
          <w:rFonts w:ascii="Cambria" w:eastAsia="Cambria" w:hAnsi="Cambria" w:cs="Cambria"/>
          <w:sz w:val="24"/>
          <w:szCs w:val="24"/>
        </w:rPr>
        <w:fldChar w:fldCharType="end"/>
      </w:r>
      <w:r w:rsidR="006E6551" w:rsidRPr="006E6551">
        <w:rPr>
          <w:rFonts w:ascii="Cambria" w:eastAsia="Cambria" w:hAnsi="Cambria" w:cs="Cambria"/>
          <w:sz w:val="24"/>
          <w:szCs w:val="24"/>
        </w:rPr>
        <w:t>mendefinisikan tiga teknik analisis data kualitatif: reduksi data, penyajian data, dan penarikan kesimpulan. Teknik ini diulangi selama penyelidikan, bahkan sebelum data dikumpulkan. Berikut ini adalah beberapa pendekatan untuk menganalisis data kualitatif.:</w:t>
      </w:r>
    </w:p>
    <w:p w14:paraId="33F672F0" w14:textId="77777777" w:rsidR="00FE392A" w:rsidRPr="00FE392A" w:rsidRDefault="00FE392A" w:rsidP="00FE392A">
      <w:pPr>
        <w:spacing w:after="60" w:line="276" w:lineRule="auto"/>
        <w:ind w:firstLine="720"/>
        <w:jc w:val="both"/>
        <w:rPr>
          <w:rFonts w:ascii="Cambria" w:eastAsia="Cambria" w:hAnsi="Cambria" w:cs="Cambria"/>
          <w:sz w:val="24"/>
          <w:szCs w:val="24"/>
        </w:rPr>
      </w:pPr>
      <w:r w:rsidRPr="00FE392A">
        <w:rPr>
          <w:rFonts w:ascii="Cambria" w:eastAsia="Cambria" w:hAnsi="Cambria" w:cs="Cambria"/>
          <w:sz w:val="24"/>
          <w:szCs w:val="24"/>
        </w:rPr>
        <w:t>1. Reduksi data</w:t>
      </w:r>
    </w:p>
    <w:p w14:paraId="10A43CD4" w14:textId="77777777" w:rsidR="00FE392A" w:rsidRPr="00FE392A" w:rsidRDefault="006E6551" w:rsidP="00FE392A">
      <w:pPr>
        <w:spacing w:after="60" w:line="276" w:lineRule="auto"/>
        <w:ind w:firstLine="720"/>
        <w:jc w:val="both"/>
        <w:rPr>
          <w:rFonts w:ascii="Cambria" w:eastAsia="Cambria" w:hAnsi="Cambria" w:cs="Cambria"/>
          <w:sz w:val="24"/>
          <w:szCs w:val="24"/>
        </w:rPr>
      </w:pPr>
      <w:r w:rsidRPr="006E6551">
        <w:rPr>
          <w:rFonts w:ascii="Cambria" w:eastAsia="Cambria" w:hAnsi="Cambria" w:cs="Cambria"/>
          <w:sz w:val="24"/>
          <w:szCs w:val="24"/>
        </w:rPr>
        <w:t>Salah satu strategi analisis data kualitatif adalah reduksi data. Reduksi data adalah sejenis analisis yang menajamkan, mengkategorikan, mengarahkan, membuang informasi asing, dan mengorganisasikan data sehingga dapat dicapai kesimpulan akhir. Pengurangan tidak harus dipandang sebagai kuantifikasi data</w:t>
      </w:r>
      <w:proofErr w:type="gramStart"/>
      <w:r w:rsidRPr="006E6551">
        <w:rPr>
          <w:rFonts w:ascii="Cambria" w:eastAsia="Cambria" w:hAnsi="Cambria" w:cs="Cambria"/>
          <w:sz w:val="24"/>
          <w:szCs w:val="24"/>
        </w:rPr>
        <w:t>..</w:t>
      </w:r>
      <w:proofErr w:type="gramEnd"/>
    </w:p>
    <w:p w14:paraId="07BE4A1D" w14:textId="77777777" w:rsidR="00FE392A" w:rsidRPr="00FE392A" w:rsidRDefault="00FE392A" w:rsidP="00FE392A">
      <w:pPr>
        <w:spacing w:after="60" w:line="276" w:lineRule="auto"/>
        <w:ind w:firstLine="720"/>
        <w:jc w:val="both"/>
        <w:rPr>
          <w:rFonts w:ascii="Cambria" w:eastAsia="Cambria" w:hAnsi="Cambria" w:cs="Cambria"/>
          <w:sz w:val="24"/>
          <w:szCs w:val="24"/>
        </w:rPr>
      </w:pPr>
      <w:r w:rsidRPr="00FE392A">
        <w:rPr>
          <w:rFonts w:ascii="Cambria" w:eastAsia="Cambria" w:hAnsi="Cambria" w:cs="Cambria"/>
          <w:sz w:val="24"/>
          <w:szCs w:val="24"/>
        </w:rPr>
        <w:t>2. Penyajian Data</w:t>
      </w:r>
    </w:p>
    <w:p w14:paraId="2A2DFDBF" w14:textId="77777777" w:rsidR="00FE392A" w:rsidRPr="00FE392A" w:rsidRDefault="006E6551" w:rsidP="00FE392A">
      <w:pPr>
        <w:spacing w:after="60" w:line="276" w:lineRule="auto"/>
        <w:ind w:firstLine="720"/>
        <w:jc w:val="both"/>
        <w:rPr>
          <w:rFonts w:ascii="Cambria" w:eastAsia="Cambria" w:hAnsi="Cambria" w:cs="Cambria"/>
          <w:sz w:val="24"/>
          <w:szCs w:val="24"/>
        </w:rPr>
      </w:pPr>
      <w:r w:rsidRPr="006E6551">
        <w:rPr>
          <w:rFonts w:ascii="Cambria" w:eastAsia="Cambria" w:hAnsi="Cambria" w:cs="Cambria"/>
          <w:sz w:val="24"/>
          <w:szCs w:val="24"/>
        </w:rPr>
        <w:t>Penyajian data merupakan salah satu pendekatan yang digunakan dalam analisis data kualitatif. Penyajian data adalah kegiatan di mana kumpulan informasi dikumpulkan, memungkinkan adanya potensi untuk membentuk kesimpulan. Data kualitatif disajikan dalam bentuk teks naratif (dalam bentuk catatan lapangan), matriks, grafik, jaringan, dan bagan.</w:t>
      </w:r>
    </w:p>
    <w:p w14:paraId="416C5F9A" w14:textId="77777777" w:rsidR="00FE392A" w:rsidRPr="00FE392A" w:rsidRDefault="00FE392A" w:rsidP="00FE392A">
      <w:pPr>
        <w:spacing w:after="60" w:line="276" w:lineRule="auto"/>
        <w:ind w:firstLine="720"/>
        <w:jc w:val="both"/>
        <w:rPr>
          <w:rFonts w:ascii="Cambria" w:eastAsia="Cambria" w:hAnsi="Cambria" w:cs="Cambria"/>
          <w:sz w:val="24"/>
          <w:szCs w:val="24"/>
        </w:rPr>
      </w:pPr>
      <w:r w:rsidRPr="00FE392A">
        <w:rPr>
          <w:rFonts w:ascii="Cambria" w:eastAsia="Cambria" w:hAnsi="Cambria" w:cs="Cambria"/>
          <w:sz w:val="24"/>
          <w:szCs w:val="24"/>
        </w:rPr>
        <w:t>3. Gambar Kesimpulan</w:t>
      </w:r>
    </w:p>
    <w:p w14:paraId="759C8144" w14:textId="77777777" w:rsidR="00FE392A" w:rsidRDefault="006E6551" w:rsidP="00FE392A">
      <w:pPr>
        <w:spacing w:after="60" w:line="276" w:lineRule="auto"/>
        <w:ind w:firstLine="720"/>
        <w:jc w:val="both"/>
        <w:rPr>
          <w:rFonts w:ascii="Cambria" w:eastAsia="Cambria" w:hAnsi="Cambria" w:cs="Cambria"/>
          <w:sz w:val="24"/>
          <w:szCs w:val="24"/>
        </w:rPr>
      </w:pPr>
      <w:r w:rsidRPr="006E6551">
        <w:rPr>
          <w:rFonts w:ascii="Cambria" w:eastAsia="Cambria" w:hAnsi="Cambria" w:cs="Cambria"/>
          <w:sz w:val="24"/>
          <w:szCs w:val="24"/>
        </w:rPr>
        <w:t>Salah satu strategi analisis data kualitatif adalah menarik kesimpulan. Konsekuensi dari analisis adalah kemampuan untuk menarik temuan yang dapat dimanfaatkan untuk mengambil tindakan</w:t>
      </w:r>
      <w:proofErr w:type="gramStart"/>
      <w:r w:rsidRPr="006E6551">
        <w:rPr>
          <w:rFonts w:ascii="Cambria" w:eastAsia="Cambria" w:hAnsi="Cambria" w:cs="Cambria"/>
          <w:sz w:val="24"/>
          <w:szCs w:val="24"/>
        </w:rPr>
        <w:t>..</w:t>
      </w:r>
      <w:proofErr w:type="gramEnd"/>
    </w:p>
    <w:p w14:paraId="1018043E" w14:textId="77777777" w:rsidR="00A27BA3" w:rsidRDefault="00A27BA3">
      <w:pPr>
        <w:spacing w:after="60" w:line="276" w:lineRule="auto"/>
        <w:rPr>
          <w:rFonts w:ascii="Cambria" w:eastAsia="Cambria" w:hAnsi="Cambria" w:cs="Cambria"/>
          <w:b/>
          <w:sz w:val="24"/>
          <w:szCs w:val="24"/>
        </w:rPr>
      </w:pPr>
    </w:p>
    <w:p w14:paraId="04677FCA" w14:textId="77777777" w:rsidR="00A27BA3" w:rsidRDefault="00DA6B6F">
      <w:pPr>
        <w:spacing w:after="60" w:line="276" w:lineRule="auto"/>
        <w:rPr>
          <w:rFonts w:ascii="Cambria" w:eastAsia="Cambria" w:hAnsi="Cambria" w:cs="Cambria"/>
          <w:b/>
          <w:sz w:val="24"/>
          <w:szCs w:val="24"/>
        </w:rPr>
      </w:pPr>
      <w:r>
        <w:rPr>
          <w:rFonts w:ascii="Cambria" w:eastAsia="Cambria" w:hAnsi="Cambria" w:cs="Cambria"/>
          <w:b/>
          <w:sz w:val="24"/>
          <w:szCs w:val="24"/>
        </w:rPr>
        <w:t>HASIL DAN DISKUSI</w:t>
      </w:r>
    </w:p>
    <w:p w14:paraId="119E23E1" w14:textId="27A4ACB6" w:rsidR="00A27BA3" w:rsidRPr="00FE392A" w:rsidRDefault="00FE392A" w:rsidP="00FE392A">
      <w:pPr>
        <w:spacing w:before="60" w:after="0" w:line="276" w:lineRule="auto"/>
        <w:jc w:val="both"/>
        <w:rPr>
          <w:rFonts w:ascii="Cambria" w:eastAsia="Cambria" w:hAnsi="Cambria" w:cs="Cambria"/>
          <w:b/>
          <w:bCs/>
          <w:sz w:val="24"/>
          <w:szCs w:val="24"/>
        </w:rPr>
      </w:pPr>
      <w:r w:rsidRPr="00FE392A">
        <w:rPr>
          <w:rFonts w:ascii="Cambria" w:eastAsia="Cambria" w:hAnsi="Cambria" w:cs="Cambria"/>
          <w:b/>
          <w:bCs/>
          <w:sz w:val="24"/>
          <w:szCs w:val="24"/>
        </w:rPr>
        <w:t>1. Pengaruh Sosialisasi Terhadap Minat Maha</w:t>
      </w:r>
      <w:r w:rsidR="0097372A">
        <w:rPr>
          <w:rFonts w:ascii="Cambria" w:eastAsia="Cambria" w:hAnsi="Cambria" w:cs="Cambria"/>
          <w:b/>
          <w:bCs/>
          <w:sz w:val="24"/>
          <w:szCs w:val="24"/>
        </w:rPr>
        <w:t>mahasiswa</w:t>
      </w:r>
    </w:p>
    <w:p w14:paraId="7AD32AC1" w14:textId="5661CC2B" w:rsidR="006E6551" w:rsidRPr="006E6551" w:rsidRDefault="006E6551" w:rsidP="006E6551">
      <w:pPr>
        <w:spacing w:before="60" w:after="0" w:line="276" w:lineRule="auto"/>
        <w:ind w:firstLine="720"/>
        <w:jc w:val="both"/>
        <w:rPr>
          <w:rFonts w:ascii="Cambria" w:eastAsia="Cambria" w:hAnsi="Cambria" w:cs="Cambria"/>
          <w:sz w:val="24"/>
          <w:szCs w:val="24"/>
        </w:rPr>
      </w:pPr>
      <w:r w:rsidRPr="006E6551">
        <w:rPr>
          <w:rFonts w:ascii="Cambria" w:eastAsia="Cambria" w:hAnsi="Cambria" w:cs="Cambria"/>
          <w:sz w:val="24"/>
          <w:szCs w:val="24"/>
        </w:rPr>
        <w:t xml:space="preserve">Tiga masalah penelitian dibahas dalam penelitian kami. Pertama, kami berusaha memahami bagaimana kontak sosial memengaruhi pembelajaran </w:t>
      </w:r>
      <w:r w:rsidR="0097372A">
        <w:rPr>
          <w:rFonts w:ascii="Cambria" w:eastAsia="Cambria" w:hAnsi="Cambria" w:cs="Cambria"/>
          <w:sz w:val="24"/>
          <w:szCs w:val="24"/>
        </w:rPr>
        <w:t>mahasiswa pada Bank BSI</w:t>
      </w:r>
      <w:r w:rsidRPr="006E6551">
        <w:rPr>
          <w:rFonts w:ascii="Cambria" w:eastAsia="Cambria" w:hAnsi="Cambria" w:cs="Cambria"/>
          <w:sz w:val="24"/>
          <w:szCs w:val="24"/>
        </w:rPr>
        <w:t xml:space="preserve">. Analisis data mengungkapkan tiga temuan: (a) </w:t>
      </w:r>
      <w:r w:rsidR="0097372A">
        <w:rPr>
          <w:rFonts w:ascii="Cambria" w:eastAsia="Cambria" w:hAnsi="Cambria" w:cs="Cambria"/>
          <w:sz w:val="24"/>
          <w:szCs w:val="24"/>
        </w:rPr>
        <w:t>mahasiswa</w:t>
      </w:r>
      <w:r w:rsidRPr="006E6551">
        <w:rPr>
          <w:rFonts w:ascii="Cambria" w:eastAsia="Cambria" w:hAnsi="Cambria" w:cs="Cambria"/>
          <w:sz w:val="24"/>
          <w:szCs w:val="24"/>
        </w:rPr>
        <w:t xml:space="preserve"> belajar dari orang lain, meningkatkan pemahaman dan retensi dengan mengaktifkan pengetahuan sebelumnya, membuat koneksi, dan mengkonsolidasikan ide-ide baru; (b) interaksi sosial menciptakan lingkungan kerja yang positif; dan (c) interaksi sosial memungkinkan </w:t>
      </w:r>
      <w:r w:rsidR="0097372A">
        <w:rPr>
          <w:rFonts w:ascii="Cambria" w:eastAsia="Cambria" w:hAnsi="Cambria" w:cs="Cambria"/>
          <w:sz w:val="24"/>
          <w:szCs w:val="24"/>
        </w:rPr>
        <w:t>mahasiswa pada Bank BSI</w:t>
      </w:r>
      <w:r w:rsidRPr="006E6551">
        <w:rPr>
          <w:rFonts w:ascii="Cambria" w:eastAsia="Cambria" w:hAnsi="Cambria" w:cs="Cambria"/>
          <w:sz w:val="24"/>
          <w:szCs w:val="24"/>
        </w:rPr>
        <w:t xml:space="preserve"> untuk melihat topik dari berbagai perspektif, meningkatkan kemampuan berpikir kritis dan pemecahan masalah. Menurut hasil kami, </w:t>
      </w:r>
      <w:r w:rsidR="0097372A">
        <w:rPr>
          <w:rFonts w:ascii="Cambria" w:eastAsia="Cambria" w:hAnsi="Cambria" w:cs="Cambria"/>
          <w:sz w:val="24"/>
          <w:szCs w:val="24"/>
        </w:rPr>
        <w:t>mahasiswa</w:t>
      </w:r>
      <w:r w:rsidRPr="006E6551">
        <w:rPr>
          <w:rFonts w:ascii="Cambria" w:eastAsia="Cambria" w:hAnsi="Cambria" w:cs="Cambria"/>
          <w:sz w:val="24"/>
          <w:szCs w:val="24"/>
        </w:rPr>
        <w:t xml:space="preserve"> di ketiga kursus melihat hubungan yang substansial antara kontak sosial di kelas dan pembelajaran mereka. Mereka percaya bahwa berhubungan dengan teman sebaya membantu mereka belajar lebih banyak di kelas.</w:t>
      </w:r>
    </w:p>
    <w:p w14:paraId="121C1AEA" w14:textId="7743D6E3" w:rsidR="006E6551" w:rsidRPr="006E6551" w:rsidRDefault="0097372A" w:rsidP="006E6551">
      <w:pPr>
        <w:spacing w:before="60" w:after="0" w:line="276" w:lineRule="auto"/>
        <w:ind w:firstLine="720"/>
        <w:jc w:val="both"/>
        <w:rPr>
          <w:rFonts w:ascii="Cambria" w:eastAsia="Cambria" w:hAnsi="Cambria" w:cs="Cambria"/>
          <w:sz w:val="24"/>
          <w:szCs w:val="24"/>
        </w:rPr>
      </w:pPr>
      <w:r>
        <w:rPr>
          <w:rFonts w:ascii="Cambria" w:eastAsia="Cambria" w:hAnsi="Cambria" w:cs="Cambria"/>
          <w:sz w:val="24"/>
          <w:szCs w:val="24"/>
        </w:rPr>
        <w:fldChar w:fldCharType="begin" w:fldLock="1"/>
      </w:r>
      <w:r w:rsidR="00674CCA">
        <w:rPr>
          <w:rFonts w:ascii="Cambria" w:eastAsia="Cambria" w:hAnsi="Cambria" w:cs="Cambria"/>
          <w:sz w:val="24"/>
          <w:szCs w:val="24"/>
        </w:rPr>
        <w:instrText>ADDIN CSL_CITATION {"citationItems":[{"id":"ITEM-1","itemData":{"abstract":"… Nilai rata-rata tertinggi adalah 3,73 yang terdapat pada dimensi product knowledge dalam pernyataan internet banking dan mobile banking adalah jenis layanan e-channel BTN. …","author":[{"dropping-particle":"","family":"Nurparliana","given":"Lia","non-dropping-particle":"","parse-names":false,"suffix":""},{"dropping-particle":"","family":"Astuti","given":"Titin","non-dropping-particle":"","parse-names":false,"suffix":""},{"dropping-particle":"","family":"Miswan","given":"","non-dropping-particle":"","parse-names":false,"suffix":""}],"container-title":"Seminar Nasional Pariwisata dan Kewirausahaaan","id":"ITEM-1","issued":{"date-parts":[["2022"]]},"page":"310-322","title":"Pengaruh Pengetahuan, Kepercayaan, Dan Kemudahan Penggunaan E-Channel Terhadap Minat Bertransaksi Ulang Secara Online ( Studi Kasus Pada Nasabah Btn Kc Kelapa Gading Square )","type":"article-journal","volume":"1"},"uris":["http://www.mendeley.com/documents/?uuid=4e28684a-bd30-43d1-a1c9-50fbac7668d6"]},{"id":"ITEM-2","itemData":{"DOI":"10.31842/jurnalinobis.v4i2.181","abstract":"Tujuan penelitian ini adalah untuk menjelaskan dan menganalisis pengaruh persepsi kegunaan, persepsi kemudahan, persepsi kepercayaan, dan norma subjektif terhadap minat mahasiswa berdonasi pada platform crowdfunding. Metode pengambilan sampel yang digunakan adalah metode non probability sampling. Responden dalam penelitian ini adalah mahasiswa/ mahasiswi yang berdomisili di Jabodetabek sebanyak 100 responden. Metode analisis yang digunakan dalam penelitian ini adalah regesi linear berganda. Hasil penelitian menunjukkan variabel persepsi kegunaan berpengaruh tidak signifikan terhadap minat mahasiswa berdonasi melalui platform crowdfunding. Sedangkan, persepsi kemudahan, kepercayaan, dan norma subjektif berpengaruh signifikan tehadap minat mahasiswa berdonasi melalui platform tersebut.","author":[{"dropping-particle":"","family":"Linardi","given":"Celine","non-dropping-particle":"","parse-names":false,"suffix":""},{"dropping-particle":"","family":"Nur","given":"Triasesiarta","non-dropping-particle":"","parse-names":false,"suffix":""}],"container-title":"INOBIS: Jurnal Inovasi Bisnis dan Manajemen Indonesia","id":"ITEM-2","issue":"2","issued":{"date-parts":[["2021"]]},"page":"249-267","title":"Faktor-Faktor Yang Mempengaruhi Minat Mahasiswa Berdonasi Melalui Platform Crowdfunding","type":"article-journal","volume":"4"},"uris":["http://www.mendeley.com/documents/?uuid=91513dab-b688-48fb-be55-19379e6142cf"]},{"id":"ITEM-3","itemData":{"abstract":"Introduction/Main Objectives: To determine the influence of students' perceptions, motivation, interests and knowledge about taxes on career choices in the field of taxation. Background Problems: Lack of student interest in the taxation sector where it is difficult to find experts in the field of taxation. Novelty: Re- examining variables that have existed in previous studies with different research locations. Research Methods: Type of quantitative research with data collection methods using the questionnaire method which is distributed online, sampling using the slovin formula with a population of 274 students and analysis tools using SPSS 25. Finding/Results: Partially variable perceptions, motivation, and student knowledge about taxes do not have a significant effect on career choices in the field of taxation and the interest variable has a significant effect on career choices in the field of taxation. Conclusion: Always deepen your knowledge of taxation by participating in a series of activities such as seminars, training or doing internships in the tax industry","author":[{"dropping-particle":"","family":"Aini","given":"Nur","non-dropping-particle":"","parse-names":false,"suffix":""},{"dropping-particle":"","family":"Goenawan","given":"Yohanes August","non-dropping-particle":"","parse-names":false,"suffix":""}],"container-title":"Jurnal intelektual","id":"ITEM-3","issue":"2","issued":{"date-parts":[["2022"]]},"page":"118-131","title":"Pengaruh Persepsi, Motivasi, Minat dan Pengetahuan Mahasiswa Tentang Pajak terhadap Pilihan Berkarir Dibidang Perpajakan (Studi Empiris STIE Putra Perdana Indonesia Tangerang)","type":"article-journal","volume":"1"},"uris":["http://www.mendeley.com/documents/?uuid=5ece61d0-782e-467d-9567-d4cf92b6292f"]}],"mendeley":{"formattedCitation":"(Aini &amp; Goenawan, 2022; Linardi &amp; Nur, 2021; Nurparliana et al., 2022)","plainTextFormattedCitation":"(Aini &amp; Goenawan, 2022; Linardi &amp; Nur, 2021; Nurparliana et al., 2022)","previouslyFormattedCitation":"(Aini &amp; Goenawan, 2022; Linardi &amp; Nur, 2021; Nurparliana et al., 2022)"},"properties":{"noteIndex":0},"schema":"https://github.com/citation-style-language/schema/raw/master/csl-citation.json"}</w:instrText>
      </w:r>
      <w:r>
        <w:rPr>
          <w:rFonts w:ascii="Cambria" w:eastAsia="Cambria" w:hAnsi="Cambria" w:cs="Cambria"/>
          <w:sz w:val="24"/>
          <w:szCs w:val="24"/>
        </w:rPr>
        <w:fldChar w:fldCharType="separate"/>
      </w:r>
      <w:r w:rsidRPr="0097372A">
        <w:rPr>
          <w:rFonts w:ascii="Cambria" w:eastAsia="Cambria" w:hAnsi="Cambria" w:cs="Cambria"/>
          <w:noProof/>
          <w:sz w:val="24"/>
          <w:szCs w:val="24"/>
        </w:rPr>
        <w:t>(Aini &amp; Goenawan, 2022; Linardi &amp; Nur, 2021; Nurparliana et al., 2022)</w:t>
      </w:r>
      <w:r>
        <w:rPr>
          <w:rFonts w:ascii="Cambria" w:eastAsia="Cambria" w:hAnsi="Cambria" w:cs="Cambria"/>
          <w:sz w:val="24"/>
          <w:szCs w:val="24"/>
        </w:rPr>
        <w:fldChar w:fldCharType="end"/>
      </w:r>
      <w:r w:rsidR="006E6551" w:rsidRPr="006E6551">
        <w:rPr>
          <w:rFonts w:ascii="Cambria" w:eastAsia="Cambria" w:hAnsi="Cambria" w:cs="Cambria"/>
          <w:sz w:val="24"/>
          <w:szCs w:val="24"/>
        </w:rPr>
        <w:t xml:space="preserve">semuanya sangat mendukung gagasan ini. Menurut </w:t>
      </w:r>
      <w:r w:rsidR="00674CCA">
        <w:rPr>
          <w:rFonts w:ascii="Cambria" w:eastAsia="Cambria" w:hAnsi="Cambria" w:cs="Cambria"/>
          <w:sz w:val="24"/>
          <w:szCs w:val="24"/>
        </w:rPr>
        <w:fldChar w:fldCharType="begin" w:fldLock="1"/>
      </w:r>
      <w:r w:rsidR="00674CCA">
        <w:rPr>
          <w:rFonts w:ascii="Cambria" w:eastAsia="Cambria" w:hAnsi="Cambria" w:cs="Cambria"/>
          <w:sz w:val="24"/>
          <w:szCs w:val="24"/>
        </w:rPr>
        <w:instrText>ADDIN CSL_CITATION {"citationItems":[{"id":"ITEM-1","itemData":{"DOI":"10.37301/jmubh.v16i2.19032","ISSN":"1907-6576","abstract":"This research aims to test the effect of benefits, trust, and ease of use on customer interests using mobile banking services at PT. West Sumatra Regional Development Bank Koto Baru Branch, Dharmasraya. The variables used in this study are bound variables i.e. customer interest (Y), and free variables consist of benefits (X1), trust (X2), and ease of use (X3). The type of data used in this study is quantitative data. The accumulation of data used in this study was primary data from questionnaires and using teknik slovin. Technical data analysis using classic assumption test, multiple linear regression analysis, and t test. The population in this study was a customer of PT Bank Pembangunan Daerah Sumatera Barat Koto Baru Dharmasraya Branch, the sample in this study amounted to 148 respondents.The research data was collected from respondents' results and analyzed with liniear regression and hypothesis test. The results showed that the variable benefits did not have a positive and significant effect on customer interest with a t-count value of (1,138&lt;1.665) dan untuk variabel kepercayaan berpengaruh positif dan signifikan terhadap minat nasabah dengan nilai t-hitung sebesar (25.426&gt;1,655), furthermore for ease of use positive and significant effect on customer interest with a t-count value of (2,810&gt;1,655).","author":[{"dropping-particle":"","family":"Fernos","given":"Jhon","non-dropping-particle":"","parse-names":false,"suffix":""},{"dropping-particle":"","family":"Alfadino","given":"Mairizal","non-dropping-particle":"","parse-names":false,"suffix":""}],"container-title":"Jurnal Manajemen Universitas Bung Hatta","id":"ITEM-1","issue":"2","issued":{"date-parts":[["2021"]]},"page":"115-125","title":"Pengaruh Manfaat, Kepercayaan, Dan Kemudahan Penggunaan Terhadap Minat Nasabah Menggunakan Layanan Mobile Banking Pada Pt. Bank Pembangunan Daerah Sumatera Barat Cabang Koto Baru, Dharmasraya","type":"article-journal","volume":"16"},"uris":["http://www.mendeley.com/documents/?uuid=250194cb-0cc4-44ee-997d-923c0053ca9b"]}],"mendeley":{"formattedCitation":"(Fernos &amp; Alfadino, 2021)","plainTextFormattedCitation":"(Fernos &amp; Alfadino, 2021)","previouslyFormattedCitation":"(Fernos &amp; Alfadino, 2021)"},"properties":{"noteIndex":0},"schema":"https://github.com/citation-style-language/schema/raw/master/csl-citation.json"}</w:instrText>
      </w:r>
      <w:r w:rsidR="00674CCA">
        <w:rPr>
          <w:rFonts w:ascii="Cambria" w:eastAsia="Cambria" w:hAnsi="Cambria" w:cs="Cambria"/>
          <w:sz w:val="24"/>
          <w:szCs w:val="24"/>
        </w:rPr>
        <w:fldChar w:fldCharType="separate"/>
      </w:r>
      <w:r w:rsidR="00674CCA" w:rsidRPr="00674CCA">
        <w:rPr>
          <w:rFonts w:ascii="Cambria" w:eastAsia="Cambria" w:hAnsi="Cambria" w:cs="Cambria"/>
          <w:noProof/>
          <w:sz w:val="24"/>
          <w:szCs w:val="24"/>
        </w:rPr>
        <w:t>(Fernos &amp; Alfadino, 2021)</w:t>
      </w:r>
      <w:r w:rsidR="00674CCA">
        <w:rPr>
          <w:rFonts w:ascii="Cambria" w:eastAsia="Cambria" w:hAnsi="Cambria" w:cs="Cambria"/>
          <w:sz w:val="24"/>
          <w:szCs w:val="24"/>
        </w:rPr>
        <w:fldChar w:fldCharType="end"/>
      </w:r>
      <w:r w:rsidR="006E6551" w:rsidRPr="006E6551">
        <w:rPr>
          <w:rFonts w:ascii="Cambria" w:eastAsia="Cambria" w:hAnsi="Cambria" w:cs="Cambria"/>
          <w:sz w:val="24"/>
          <w:szCs w:val="24"/>
        </w:rPr>
        <w:t xml:space="preserve">, "percakapan membantu individu memahami dunia mereka." Ini mempromosikan empati, pemahaman, menghormati sudut pandang yang berlawanan, dan kepemilikan proses pembelajaran "(hal. 8). Menurut </w:t>
      </w:r>
      <w:r w:rsidR="00674CCA">
        <w:rPr>
          <w:rFonts w:ascii="Cambria" w:eastAsia="Cambria" w:hAnsi="Cambria" w:cs="Cambria"/>
          <w:sz w:val="24"/>
          <w:szCs w:val="24"/>
        </w:rPr>
        <w:fldChar w:fldCharType="begin" w:fldLock="1"/>
      </w:r>
      <w:r w:rsidR="00674CCA">
        <w:rPr>
          <w:rFonts w:ascii="Cambria" w:eastAsia="Cambria" w:hAnsi="Cambria" w:cs="Cambria"/>
          <w:sz w:val="24"/>
          <w:szCs w:val="24"/>
        </w:rPr>
        <w:instrText>ADDIN CSL_CITATION {"citationItems":[{"id":"ITEM-1","itemData":{"author":[{"dropping-particle":"","family":"Di","given":"Berkarir","non-dropping-particle":"","parse-names":false,"suffix":""},{"dropping-particle":"","family":"Perpajakan","given":"Bidang","non-dropping-particle":"","parse-names":false,"suffix":""},{"dropping-particle":"","family":"Kemandirian","given":"Asas","non-dropping-particle":"","parse-names":false,"suffix":""}],"id":"ITEM-1","issue":"Accounting 2018","issued":{"date-parts":[["2021"]]},"page":"24-34","title":"PENGETAHUAN PAJAK, PERSEPSI MAHASISWA Terhadap MINAT MAHASISWA BERKARIR DI BIDANG PERPAJAKAN: ASAS KEMANDIRIAN SEBAGAI VARIABEL MODERASI","type":"article-journal"},"uris":["http://www.mendeley.com/documents/?uuid=81892b38-4e8e-4e8d-a3e4-0e0f2bf54a43"]}],"mendeley":{"formattedCitation":"(Di et al., 2021)","plainTextFormattedCitation":"(Di et al., 2021)","previouslyFormattedCitation":"(Di et al., 2021)"},"properties":{"noteIndex":0},"schema":"https://github.com/citation-style-language/schema/raw/master/csl-citation.json"}</w:instrText>
      </w:r>
      <w:r w:rsidR="00674CCA">
        <w:rPr>
          <w:rFonts w:ascii="Cambria" w:eastAsia="Cambria" w:hAnsi="Cambria" w:cs="Cambria"/>
          <w:sz w:val="24"/>
          <w:szCs w:val="24"/>
        </w:rPr>
        <w:fldChar w:fldCharType="separate"/>
      </w:r>
      <w:r w:rsidR="00674CCA" w:rsidRPr="00674CCA">
        <w:rPr>
          <w:rFonts w:ascii="Cambria" w:eastAsia="Cambria" w:hAnsi="Cambria" w:cs="Cambria"/>
          <w:noProof/>
          <w:sz w:val="24"/>
          <w:szCs w:val="24"/>
        </w:rPr>
        <w:t>(Di et al., 2021)</w:t>
      </w:r>
      <w:r w:rsidR="00674CCA">
        <w:rPr>
          <w:rFonts w:ascii="Cambria" w:eastAsia="Cambria" w:hAnsi="Cambria" w:cs="Cambria"/>
          <w:sz w:val="24"/>
          <w:szCs w:val="24"/>
        </w:rPr>
        <w:fldChar w:fldCharType="end"/>
      </w:r>
      <w:r w:rsidR="006E6551" w:rsidRPr="006E6551">
        <w:rPr>
          <w:rFonts w:ascii="Cambria" w:eastAsia="Cambria" w:hAnsi="Cambria" w:cs="Cambria"/>
          <w:sz w:val="24"/>
          <w:szCs w:val="24"/>
        </w:rPr>
        <w:t xml:space="preserve">, "partisipasi dalam diskusi rekan meningkatkan kemampuan </w:t>
      </w:r>
      <w:r>
        <w:rPr>
          <w:rFonts w:ascii="Cambria" w:eastAsia="Cambria" w:hAnsi="Cambria" w:cs="Cambria"/>
          <w:sz w:val="24"/>
          <w:szCs w:val="24"/>
        </w:rPr>
        <w:t>mahasiswa</w:t>
      </w:r>
      <w:r w:rsidR="006E6551" w:rsidRPr="006E6551">
        <w:rPr>
          <w:rFonts w:ascii="Cambria" w:eastAsia="Cambria" w:hAnsi="Cambria" w:cs="Cambria"/>
          <w:sz w:val="24"/>
          <w:szCs w:val="24"/>
        </w:rPr>
        <w:t xml:space="preserve"> untuk memantau pemahaman mereka tentang teks, mengungkapkan secara </w:t>
      </w:r>
      <w:r w:rsidR="006E6551" w:rsidRPr="006E6551">
        <w:rPr>
          <w:rFonts w:ascii="Cambria" w:eastAsia="Cambria" w:hAnsi="Cambria" w:cs="Cambria"/>
          <w:sz w:val="24"/>
          <w:szCs w:val="24"/>
        </w:rPr>
        <w:lastRenderedPageBreak/>
        <w:t>verbal. pemikiran mereka, mempertimbangkan perspektif alternatif, dan memikul tanggung jawab untuk pembelajaran mereka sendiri"</w:t>
      </w:r>
      <w:r w:rsidR="00674CCA">
        <w:rPr>
          <w:rFonts w:ascii="Cambria" w:eastAsia="Cambria" w:hAnsi="Cambria" w:cs="Cambria"/>
          <w:sz w:val="24"/>
          <w:szCs w:val="24"/>
        </w:rPr>
        <w:t>.</w:t>
      </w:r>
    </w:p>
    <w:p w14:paraId="5B412C97" w14:textId="6922A217" w:rsidR="00FE392A" w:rsidRDefault="006E6551" w:rsidP="006E6551">
      <w:pPr>
        <w:spacing w:before="60" w:after="0" w:line="276" w:lineRule="auto"/>
        <w:ind w:firstLine="720"/>
        <w:jc w:val="both"/>
        <w:rPr>
          <w:rFonts w:ascii="Cambria" w:eastAsia="Cambria" w:hAnsi="Cambria" w:cs="Cambria"/>
          <w:sz w:val="24"/>
          <w:szCs w:val="24"/>
        </w:rPr>
      </w:pPr>
      <w:r w:rsidRPr="006E6551">
        <w:rPr>
          <w:rFonts w:ascii="Cambria" w:eastAsia="Cambria" w:hAnsi="Cambria" w:cs="Cambria"/>
          <w:sz w:val="24"/>
          <w:szCs w:val="24"/>
        </w:rPr>
        <w:t xml:space="preserve">Selain itu, </w:t>
      </w:r>
      <w:r w:rsidR="0097372A">
        <w:rPr>
          <w:rFonts w:ascii="Cambria" w:eastAsia="Cambria" w:hAnsi="Cambria" w:cs="Cambria"/>
          <w:sz w:val="24"/>
          <w:szCs w:val="24"/>
        </w:rPr>
        <w:t>mahasiswa</w:t>
      </w:r>
      <w:r w:rsidRPr="006E6551">
        <w:rPr>
          <w:rFonts w:ascii="Cambria" w:eastAsia="Cambria" w:hAnsi="Cambria" w:cs="Cambria"/>
          <w:sz w:val="24"/>
          <w:szCs w:val="24"/>
        </w:rPr>
        <w:t xml:space="preserve"> dalam penelitian kami melaporkan bahwa keterlibatan sosial meningkatkan pemikiran kritis dan kemampuan pemecahan masalah mereka. Dia mendorong agar semua </w:t>
      </w:r>
      <w:r w:rsidR="0097372A">
        <w:rPr>
          <w:rFonts w:ascii="Cambria" w:eastAsia="Cambria" w:hAnsi="Cambria" w:cs="Cambria"/>
          <w:sz w:val="24"/>
          <w:szCs w:val="24"/>
        </w:rPr>
        <w:t>mahasiswa</w:t>
      </w:r>
      <w:r w:rsidRPr="006E6551">
        <w:rPr>
          <w:rFonts w:ascii="Cambria" w:eastAsia="Cambria" w:hAnsi="Cambria" w:cs="Cambria"/>
          <w:sz w:val="24"/>
          <w:szCs w:val="24"/>
        </w:rPr>
        <w:t xml:space="preserve"> diajari seperangkat kemampuan analitis yang dapat diterapkan pada berbagai keadaan di luar kurikulum, dan dia merasa bahwa percakapan kelompok kecil adalah metode terbaik untuk mengajar dan menyempurnakan keterampilan ini. Banyak penelitian masih setuju delapan dekade kemudian. Menurut </w:t>
      </w:r>
      <w:r w:rsidR="00674CCA">
        <w:rPr>
          <w:rFonts w:ascii="Cambria" w:eastAsia="Cambria" w:hAnsi="Cambria" w:cs="Cambria"/>
          <w:sz w:val="24"/>
          <w:szCs w:val="24"/>
        </w:rPr>
        <w:fldChar w:fldCharType="begin" w:fldLock="1"/>
      </w:r>
      <w:r w:rsidR="00674CCA">
        <w:rPr>
          <w:rFonts w:ascii="Cambria" w:eastAsia="Cambria" w:hAnsi="Cambria" w:cs="Cambria"/>
          <w:sz w:val="24"/>
          <w:szCs w:val="24"/>
        </w:rPr>
        <w:instrText>ADDIN CSL_CITATION {"citationItems":[{"id":"ITEM-1","itemData":{"ISSN":"2614-7696","abstract":"This study aims to analyze the influence of social media and trust on buying interest in Vans shoes for students of the Faculty of Economics, University of Singaperbangsa Karawang. This research uses descriptive and verification methods. Samples were collected using the stratified random sampling method and purposive sampling with a total sample of 100 respondents from a total population of 3,597 people. The data analysis technique used is scale range analysis, path analysis and multiple linear regression test. Based on the results of this study, it shows that social media has a positive and significant effect on purchase intention with a percentage of 46%, trust has a positive and significant effect on purchase intention with a percentage of 7.3%. There is a simultaneous influence of social media and trust on purchase intention which is 53,3% and the remaining 46.7% is influenced by other variables not examined in this study. The Vans shoe company must be able to interact online with consumers, by promoting its products on social media and developing creative ways to expand reach, increase consumer confidence by continuously improving product quality to gain the trust of consumers.","author":[{"dropping-particle":"","family":"Maulana","given":"Asep","non-dropping-particle":"","parse-names":false,"suffix":""}],"container-title":"Jurnal Ilmiah Mahasiswa Ekonomi Manajemen TERAKREDITASI SINTA","id":"ITEM-1","issue":"3","issued":{"date-parts":[["2021"]]},"page":"605-619","title":"Pengaruh Media Sosial Dan Kepercayaan Terhadap Minat Beli Sepatu Vans (Studi Pada Mahasiswa Fakultas Ekonomi Universitas Singaperbangsa Karawang)","type":"article-journal","volume":"4"},"uris":["http://www.mendeley.com/documents/?uuid=549074cc-422a-4c11-8d06-a08cd72354cd"]}],"mendeley":{"formattedCitation":"(Maulana, 2021)","plainTextFormattedCitation":"(Maulana, 2021)","previouslyFormattedCitation":"(Maulana, 2021)"},"properties":{"noteIndex":0},"schema":"https://github.com/citation-style-language/schema/raw/master/csl-citation.json"}</w:instrText>
      </w:r>
      <w:r w:rsidR="00674CCA">
        <w:rPr>
          <w:rFonts w:ascii="Cambria" w:eastAsia="Cambria" w:hAnsi="Cambria" w:cs="Cambria"/>
          <w:sz w:val="24"/>
          <w:szCs w:val="24"/>
        </w:rPr>
        <w:fldChar w:fldCharType="separate"/>
      </w:r>
      <w:r w:rsidR="00674CCA" w:rsidRPr="00674CCA">
        <w:rPr>
          <w:rFonts w:ascii="Cambria" w:eastAsia="Cambria" w:hAnsi="Cambria" w:cs="Cambria"/>
          <w:noProof/>
          <w:sz w:val="24"/>
          <w:szCs w:val="24"/>
        </w:rPr>
        <w:t>(Maulana, 2021)</w:t>
      </w:r>
      <w:r w:rsidR="00674CCA">
        <w:rPr>
          <w:rFonts w:ascii="Cambria" w:eastAsia="Cambria" w:hAnsi="Cambria" w:cs="Cambria"/>
          <w:sz w:val="24"/>
          <w:szCs w:val="24"/>
        </w:rPr>
        <w:fldChar w:fldCharType="end"/>
      </w:r>
      <w:r w:rsidRPr="006E6551">
        <w:rPr>
          <w:rFonts w:ascii="Cambria" w:eastAsia="Cambria" w:hAnsi="Cambria" w:cs="Cambria"/>
          <w:sz w:val="24"/>
          <w:szCs w:val="24"/>
        </w:rPr>
        <w:t xml:space="preserve">, berpikir adalah "keterampilan melek huruf yang mendasar". “Tidak diragukan lagi bahwa membaca, menulis, berbicara, dan mendengarkan adalah keterampilan yang saling berhubungan yang berkembang secara sinergis,” tulis mereka. Mereka juga penting dalam mengajar berpikir". Selanjutnya, </w:t>
      </w:r>
      <w:r w:rsidR="00674CCA">
        <w:rPr>
          <w:rFonts w:ascii="Cambria" w:eastAsia="Cambria" w:hAnsi="Cambria" w:cs="Cambria"/>
          <w:sz w:val="24"/>
          <w:szCs w:val="24"/>
        </w:rPr>
        <w:fldChar w:fldCharType="begin" w:fldLock="1"/>
      </w:r>
      <w:r w:rsidR="00674CCA">
        <w:rPr>
          <w:rFonts w:ascii="Cambria" w:eastAsia="Cambria" w:hAnsi="Cambria" w:cs="Cambria"/>
          <w:sz w:val="24"/>
          <w:szCs w:val="24"/>
        </w:rPr>
        <w:instrText>ADDIN CSL_CITATION {"citationItems":[{"id":"ITEM-1","itemData":{"DOI":"10.28918/jief.v2i2.6246","ISSN":"2797-4014","abstract":"This study aimed to determine the effect of trust, social environment, income and financial efficacy on interest in saving in Islamic financial institutions. This research is a type of quantitative research. The data collection method in this study was a questionnaire using a sample of 100 respondents. The sampling technique is probability sampling with a simple random sampling method. This study uses multiple linear regression analysis methods and the data is processed with SPSS version 25 software. The results of this study indicate that partially social environment and efficacy have a significant effect on interest in saving in Islamic financial institutions, while trust and income have no significant effect on interest in saving in institutions. Islamic finance. then simultaneously trust, social environment, income, and financial efficacy affect the interest in saving in Islamic financial institutions. The implications for Islamic financial institutions need to make people feel confident because a person's belief or self-confidence can eliminate doubts about doing something, including in terms of saving. And it is necessary to create a good social environment because the value of a good social environment will encourage people's interest to save in Islamic financial institutions. Whereas. the trust and income variables have no influence on the interest in saving in Islamic financial institutions. This means that Islamic financial institutions need to increase socialization and public education to the public so that they can be more confident and interested in using their products.","author":[{"dropping-particle":"","family":"Indana afriyanti","given":"","non-dropping-particle":"","parse-names":false,"suffix":""},{"dropping-particle":"","family":"Agus Arwani","given":"","non-dropping-particle":"","parse-names":false,"suffix":""}],"container-title":"JIEF : Journal of Islamic Economics and Finance","id":"ITEM-1","issue":"2","issued":{"date-parts":[["2022"]]},"page":"36-50","title":"Determinan Kepercayaan, Lingkungan Sosial, Pendapatan Dan Efikasi Keuangan Terhadap Minat Menabung di Lembaga Keuangan Syariah","type":"article-journal","volume":"2"},"uris":["http://www.mendeley.com/documents/?uuid=13343a55-b147-406c-83f7-8133dc46e819"]}],"mendeley":{"formattedCitation":"(Indana afriyanti &amp; Agus Arwani, 2022)","plainTextFormattedCitation":"(Indana afriyanti &amp; Agus Arwani, 2022)","previouslyFormattedCitation":"(Indana afriyanti &amp; Agus Arwani, 2022)"},"properties":{"noteIndex":0},"schema":"https://github.com/citation-style-language/schema/raw/master/csl-citation.json"}</w:instrText>
      </w:r>
      <w:r w:rsidR="00674CCA">
        <w:rPr>
          <w:rFonts w:ascii="Cambria" w:eastAsia="Cambria" w:hAnsi="Cambria" w:cs="Cambria"/>
          <w:sz w:val="24"/>
          <w:szCs w:val="24"/>
        </w:rPr>
        <w:fldChar w:fldCharType="separate"/>
      </w:r>
      <w:r w:rsidR="00674CCA" w:rsidRPr="00674CCA">
        <w:rPr>
          <w:rFonts w:ascii="Cambria" w:eastAsia="Cambria" w:hAnsi="Cambria" w:cs="Cambria"/>
          <w:noProof/>
          <w:sz w:val="24"/>
          <w:szCs w:val="24"/>
        </w:rPr>
        <w:t>(Indana afriyanti &amp; Agus Arwani, 2022)</w:t>
      </w:r>
      <w:r w:rsidR="00674CCA">
        <w:rPr>
          <w:rFonts w:ascii="Cambria" w:eastAsia="Cambria" w:hAnsi="Cambria" w:cs="Cambria"/>
          <w:sz w:val="24"/>
          <w:szCs w:val="24"/>
        </w:rPr>
        <w:fldChar w:fldCharType="end"/>
      </w:r>
      <w:r w:rsidRPr="006E6551">
        <w:rPr>
          <w:rFonts w:ascii="Cambria" w:eastAsia="Cambria" w:hAnsi="Cambria" w:cs="Cambria"/>
          <w:sz w:val="24"/>
          <w:szCs w:val="24"/>
        </w:rPr>
        <w:t xml:space="preserve"> berpendapat bahwa "bicara menawarkan </w:t>
      </w:r>
      <w:r w:rsidR="0097372A">
        <w:rPr>
          <w:rFonts w:ascii="Cambria" w:eastAsia="Cambria" w:hAnsi="Cambria" w:cs="Cambria"/>
          <w:sz w:val="24"/>
          <w:szCs w:val="24"/>
        </w:rPr>
        <w:t>mahasiswa</w:t>
      </w:r>
      <w:r w:rsidRPr="006E6551">
        <w:rPr>
          <w:rFonts w:ascii="Cambria" w:eastAsia="Cambria" w:hAnsi="Cambria" w:cs="Cambria"/>
          <w:sz w:val="24"/>
          <w:szCs w:val="24"/>
        </w:rPr>
        <w:t xml:space="preserve"> sarana untuk menggabungkan sumber daya intelektual mereka untuk secara kolektif memahami pengalaman dan memecahkan masalah". “Interaksi sosial penting di kelas karena membuat </w:t>
      </w:r>
      <w:r w:rsidR="0097372A">
        <w:rPr>
          <w:rFonts w:ascii="Cambria" w:eastAsia="Cambria" w:hAnsi="Cambria" w:cs="Cambria"/>
          <w:sz w:val="24"/>
          <w:szCs w:val="24"/>
        </w:rPr>
        <w:t>mahasiswa</w:t>
      </w:r>
      <w:r w:rsidRPr="006E6551">
        <w:rPr>
          <w:rFonts w:ascii="Cambria" w:eastAsia="Cambria" w:hAnsi="Cambria" w:cs="Cambria"/>
          <w:sz w:val="24"/>
          <w:szCs w:val="24"/>
        </w:rPr>
        <w:t xml:space="preserve"> berkomunikasi satu sama lain,” kata salah satu </w:t>
      </w:r>
      <w:r w:rsidR="0097372A">
        <w:rPr>
          <w:rFonts w:ascii="Cambria" w:eastAsia="Cambria" w:hAnsi="Cambria" w:cs="Cambria"/>
          <w:sz w:val="24"/>
          <w:szCs w:val="24"/>
        </w:rPr>
        <w:t>mahasiswa pada Bank BSI</w:t>
      </w:r>
      <w:r w:rsidRPr="006E6551">
        <w:rPr>
          <w:rFonts w:ascii="Cambria" w:eastAsia="Cambria" w:hAnsi="Cambria" w:cs="Cambria"/>
          <w:sz w:val="24"/>
          <w:szCs w:val="24"/>
        </w:rPr>
        <w:t>. Ketika ada percakapan, pembelajaran terjadi.".</w:t>
      </w:r>
    </w:p>
    <w:p w14:paraId="6E5895CA" w14:textId="2F9C7614" w:rsidR="00FE392A" w:rsidRPr="00FE392A" w:rsidRDefault="00FE392A" w:rsidP="00FE392A">
      <w:pPr>
        <w:spacing w:before="60" w:after="0" w:line="276" w:lineRule="auto"/>
        <w:jc w:val="both"/>
        <w:rPr>
          <w:rFonts w:ascii="Cambria" w:eastAsia="Cambria" w:hAnsi="Cambria" w:cs="Cambria"/>
          <w:b/>
          <w:bCs/>
          <w:sz w:val="24"/>
          <w:szCs w:val="24"/>
        </w:rPr>
      </w:pPr>
      <w:r w:rsidRPr="00FE392A">
        <w:rPr>
          <w:rFonts w:ascii="Cambria" w:eastAsia="Cambria" w:hAnsi="Cambria" w:cs="Cambria"/>
          <w:b/>
          <w:bCs/>
          <w:sz w:val="24"/>
          <w:szCs w:val="24"/>
        </w:rPr>
        <w:t>2. Pengaruh Pengetahuan Terhadap Minat Maha</w:t>
      </w:r>
      <w:r w:rsidR="0097372A">
        <w:rPr>
          <w:rFonts w:ascii="Cambria" w:eastAsia="Cambria" w:hAnsi="Cambria" w:cs="Cambria"/>
          <w:b/>
          <w:bCs/>
          <w:sz w:val="24"/>
          <w:szCs w:val="24"/>
        </w:rPr>
        <w:t>mahasiswa</w:t>
      </w:r>
    </w:p>
    <w:p w14:paraId="577746AA" w14:textId="3A8C25B1" w:rsidR="006E6551" w:rsidRPr="006E6551" w:rsidRDefault="006E6551" w:rsidP="006E6551">
      <w:pPr>
        <w:spacing w:before="60" w:after="0" w:line="276" w:lineRule="auto"/>
        <w:ind w:firstLine="720"/>
        <w:jc w:val="both"/>
        <w:rPr>
          <w:rFonts w:ascii="Cambria" w:eastAsia="Cambria" w:hAnsi="Cambria" w:cs="Cambria"/>
          <w:sz w:val="24"/>
          <w:szCs w:val="24"/>
        </w:rPr>
      </w:pPr>
      <w:r w:rsidRPr="006E6551">
        <w:rPr>
          <w:rFonts w:ascii="Cambria" w:eastAsia="Cambria" w:hAnsi="Cambria" w:cs="Cambria"/>
          <w:sz w:val="24"/>
          <w:szCs w:val="24"/>
        </w:rPr>
        <w:t xml:space="preserve">Berdasarkan metodologi yang dikemukakan oleh </w:t>
      </w:r>
      <w:r w:rsidR="00674CCA">
        <w:rPr>
          <w:rFonts w:ascii="Cambria" w:eastAsia="Cambria" w:hAnsi="Cambria" w:cs="Cambria"/>
          <w:sz w:val="24"/>
          <w:szCs w:val="24"/>
        </w:rPr>
        <w:fldChar w:fldCharType="begin" w:fldLock="1"/>
      </w:r>
      <w:r w:rsidR="00674CCA">
        <w:rPr>
          <w:rFonts w:ascii="Cambria" w:eastAsia="Cambria" w:hAnsi="Cambria" w:cs="Cambria"/>
          <w:sz w:val="24"/>
          <w:szCs w:val="24"/>
        </w:rPr>
        <w:instrText>ADDIN CSL_CITATION {"citationItems":[{"id":"ITEM-1","itemData":{"abstract":"This study aims to determine the effect of Knowledge Level, Service Quality, Product Socialization and Customer Literacy Level both partially and simultaneously on the Existence of Bank Syariah Indonesia (BSI) in Central Tapanuli. This research is a type of quantitative research with a causal associative approach. The population in this study is the Muslim community that uses Islamic banking products in Central Tapanuli. The research sample is 100 people using purposive sampling method. The data collection technique used was a questionnaire. The data analysis technique used is multiple linear regression analysis. The results showed that the level of knowledge, service quality, product socialization and customer literacy level had a positive and significant effect on the existence of Bank Syariah Indonesia (BSI) in Central Tapanuli either partially or simultaneously.","author":[{"dropping-particle":"","family":"Bugis","given":"Sri Wulandari","non-dropping-particle":"","parse-names":false,"suffix":""},{"dropping-particle":"","family":"Anggraini","given":"Tuti","non-dropping-particle":"","parse-names":false,"suffix":""}],"id":"ITEM-1","issue":"01","issued":{"date-parts":[["2023"]]},"page":"841-846","title":"Pengaruh Tingkat Pengetahuan, Kualitas Layanan, Sosialisasi Produk dan Literasi Nasabah terhadap Eksistensi Bank Syariah Indonesia (BSI) di Tapanuli Tengah","type":"article-journal","volume":"9"},"uris":["http://www.mendeley.com/documents/?uuid=5d0a4591-2e52-46fe-ba3e-5c277d18bde3"]}],"mendeley":{"formattedCitation":"(Bugis &amp; Anggraini, 2023)","plainTextFormattedCitation":"(Bugis &amp; Anggraini, 2023)","previouslyFormattedCitation":"(Bugis &amp; Anggraini, 2023)"},"properties":{"noteIndex":0},"schema":"https://github.com/citation-style-language/schema/raw/master/csl-citation.json"}</w:instrText>
      </w:r>
      <w:r w:rsidR="00674CCA">
        <w:rPr>
          <w:rFonts w:ascii="Cambria" w:eastAsia="Cambria" w:hAnsi="Cambria" w:cs="Cambria"/>
          <w:sz w:val="24"/>
          <w:szCs w:val="24"/>
        </w:rPr>
        <w:fldChar w:fldCharType="separate"/>
      </w:r>
      <w:r w:rsidR="00674CCA" w:rsidRPr="00674CCA">
        <w:rPr>
          <w:rFonts w:ascii="Cambria" w:eastAsia="Cambria" w:hAnsi="Cambria" w:cs="Cambria"/>
          <w:noProof/>
          <w:sz w:val="24"/>
          <w:szCs w:val="24"/>
        </w:rPr>
        <w:t>(Bugis &amp; Anggraini, 2023)</w:t>
      </w:r>
      <w:r w:rsidR="00674CCA">
        <w:rPr>
          <w:rFonts w:ascii="Cambria" w:eastAsia="Cambria" w:hAnsi="Cambria" w:cs="Cambria"/>
          <w:sz w:val="24"/>
          <w:szCs w:val="24"/>
        </w:rPr>
        <w:fldChar w:fldCharType="end"/>
      </w:r>
      <w:r w:rsidRPr="006E6551">
        <w:rPr>
          <w:rFonts w:ascii="Cambria" w:eastAsia="Cambria" w:hAnsi="Cambria" w:cs="Cambria"/>
          <w:sz w:val="24"/>
          <w:szCs w:val="24"/>
        </w:rPr>
        <w:t xml:space="preserve">, penelitian ini menyelidiki dampak pengetahuan sebelumnya terhadap keterlibatan belajar yang dimediasi oleh beban kognitif dan perilaku pencarian bantuan, sehingga menghubungkan beban kognitif dan penelitian pembelajaran mandiri. Ini menggabungkan mekanisme pembelajaran aktual yang diatur sendiri ke dalam paradigma studi, yaitu perilaku pencarian bantuan (pencarian bantuan instrumental, pencarian bantuan eksekutif, dan penghindaran pencarian bantuan). Pengetahuan sebelumnya meningkatkan keterlibatan pelajar, yang konsisten dengan penelitian </w:t>
      </w:r>
      <w:proofErr w:type="gramStart"/>
      <w:r w:rsidRPr="006E6551">
        <w:rPr>
          <w:rFonts w:ascii="Cambria" w:eastAsia="Cambria" w:hAnsi="Cambria" w:cs="Cambria"/>
          <w:sz w:val="24"/>
          <w:szCs w:val="24"/>
        </w:rPr>
        <w:t>sebelumnya .</w:t>
      </w:r>
      <w:proofErr w:type="gramEnd"/>
      <w:r w:rsidRPr="006E6551">
        <w:rPr>
          <w:rFonts w:ascii="Cambria" w:eastAsia="Cambria" w:hAnsi="Cambria" w:cs="Cambria"/>
          <w:sz w:val="24"/>
          <w:szCs w:val="24"/>
        </w:rPr>
        <w:t xml:space="preserve"> Penelitian kami, di sisi lain, menggali lebih jauh ke dalam konsekuensi langsung dan tidak langsung. Efek mediasi yang signifikan bertanggung jawab atas 43% dari keseluruhan dampak. Pertama, beban kognitif menyumbang 31% dari keseluruhan dampak sebagai variabel termediasi tunggal antara pengetahuan sebelumnya dan keterlibatan belajar. </w:t>
      </w:r>
      <w:r w:rsidR="0097372A">
        <w:rPr>
          <w:rFonts w:ascii="Cambria" w:eastAsia="Cambria" w:hAnsi="Cambria" w:cs="Cambria"/>
          <w:sz w:val="24"/>
          <w:szCs w:val="24"/>
        </w:rPr>
        <w:t>Mahasiswa</w:t>
      </w:r>
      <w:r w:rsidRPr="006E6551">
        <w:rPr>
          <w:rFonts w:ascii="Cambria" w:eastAsia="Cambria" w:hAnsi="Cambria" w:cs="Cambria"/>
          <w:sz w:val="24"/>
          <w:szCs w:val="24"/>
        </w:rPr>
        <w:t xml:space="preserve"> dengan pengetahuan masa lalu yang lebih besar memiliki lebih banyak memori kerja untuk memperoleh lebih banyak informasi baru, yang meningkatkan keterlibatan belajar mereka.</w:t>
      </w:r>
    </w:p>
    <w:p w14:paraId="15DED156" w14:textId="543C2E9F" w:rsidR="006E6551" w:rsidRPr="006E6551" w:rsidRDefault="006E6551" w:rsidP="006E6551">
      <w:pPr>
        <w:spacing w:before="60" w:after="0" w:line="276" w:lineRule="auto"/>
        <w:ind w:firstLine="720"/>
        <w:jc w:val="both"/>
        <w:rPr>
          <w:rFonts w:ascii="Cambria" w:eastAsia="Cambria" w:hAnsi="Cambria" w:cs="Cambria"/>
          <w:sz w:val="24"/>
          <w:szCs w:val="24"/>
        </w:rPr>
      </w:pPr>
      <w:r w:rsidRPr="006E6551">
        <w:rPr>
          <w:rFonts w:ascii="Cambria" w:eastAsia="Cambria" w:hAnsi="Cambria" w:cs="Cambria"/>
          <w:sz w:val="24"/>
          <w:szCs w:val="24"/>
        </w:rPr>
        <w:t xml:space="preserve">Pengetahuan tentang pencarian bantuan instrumental, pencarian bantuan eksekutif, dan penghindaran pencarian bantuan. Terlepas dari kenyataan bahwa kami menjelaskan beban kognitif sebagai variabel moderasi antara pengetahuan sebelumnya dan keterlibatan belajar, efek yang dimediasi akan memperburuk berbagai perilaku pencarian bantuan yang berdampak pada pembelajaran </w:t>
      </w:r>
      <w:r w:rsidR="0097372A">
        <w:rPr>
          <w:rFonts w:ascii="Cambria" w:eastAsia="Cambria" w:hAnsi="Cambria" w:cs="Cambria"/>
          <w:sz w:val="24"/>
          <w:szCs w:val="24"/>
        </w:rPr>
        <w:t>mahasiswa</w:t>
      </w:r>
      <w:r w:rsidRPr="006E6551">
        <w:rPr>
          <w:rFonts w:ascii="Cambria" w:eastAsia="Cambria" w:hAnsi="Cambria" w:cs="Cambria"/>
          <w:sz w:val="24"/>
          <w:szCs w:val="24"/>
        </w:rPr>
        <w:t xml:space="preserve">. Efek mediasi menyumbang 75, 76, dan 94% dari dampak keseluruhan dari pengetahuan sebelumnya pada pencarian bantuan instrumental dan eksekutif. Ini adalah persentase yang cukup tinggi, menunjukkan bahwa efek termediasi penting dalam hubungan antara pengetahuan sebelumnya dan tiga kategori pencarian bantuan. Menurut </w:t>
      </w:r>
      <w:r w:rsidR="00674CCA">
        <w:rPr>
          <w:rFonts w:ascii="Cambria" w:eastAsia="Cambria" w:hAnsi="Cambria" w:cs="Cambria"/>
          <w:sz w:val="24"/>
          <w:szCs w:val="24"/>
        </w:rPr>
        <w:fldChar w:fldCharType="begin" w:fldLock="1"/>
      </w:r>
      <w:r w:rsidR="00674CCA">
        <w:rPr>
          <w:rFonts w:ascii="Cambria" w:eastAsia="Cambria" w:hAnsi="Cambria" w:cs="Cambria"/>
          <w:sz w:val="24"/>
          <w:szCs w:val="24"/>
        </w:rPr>
        <w:instrText>ADDIN CSL_CITATION {"citationItems":[{"id":"ITEM-1","itemData":{"abstract":"Pasar modal merupakan salah satu sarana investasi untuk semua kalangan, tidak terkecuali mahasiswa. Minat berinvestasi mahasiswa dipengaruhi beberapa faktor seperti sosialisasi dan pengetahuan. Penelitian ini bertujuan untuk mengetahui pengaruh sosialisasi dan pengetahuan terhadap minat investasi mahasiswa di pasar modal syariah. Penelitian ini menggunakan pendekatan kuantitatif dengan analisis regresi linier berganda. Hasil penelitian menunjukkan bahwa: (1) Sosialisasi berpengaruh terhadap minat berinvestasi mahasiswa Banda Aceh (2) Pengetahuan berpengaruh terhadap minat berinvestasi mahasiswa Banda Aceh (3) Secara simultan keduanya berpengaruh terhadap minat berinvestasi mahasiswa di Banda Aceh. Hasil penelitian ini diharapkan dapat menjadi referensi bagi pemangku kepentingan di dunia pasar modal untuk meningkatkan sosialisasi dan literasi dalam menarik minat investor yang berasal dari kalangan mahasiswa.","author":[{"dropping-particle":"","family":"Zulchayra","given":"Zahra","non-dropping-particle":"","parse-names":false,"suffix":""},{"dropping-particle":"","family":"Azharsyah","given":"","non-dropping-particle":"","parse-names":false,"suffix":""},{"dropping-particle":"","family":"Fitria","given":"Ana","non-dropping-particle":"","parse-names":false,"suffix":""}],"container-title":"Jihbiz Global Journal of Islamic Banking and Finance","id":"ITEM-1","issue":"2","issued":{"date-parts":[["2020"]]},"page":"138-155","title":"Minat investasi di Pasar Modal Syariah (Studi pada mahasiswa di Banda Aceh)","type":"article-journal","volume":"2"},"uris":["http://www.mendeley.com/documents/?uuid=08c9c104-8697-4038-aa55-7479df2db282"]}],"mendeley":{"formattedCitation":"(Zulchayra et al., 2020)","plainTextFormattedCitation":"(Zulchayra et al., 2020)","previouslyFormattedCitation":"(Zulchayra et al., 2020)"},"properties":{"noteIndex":0},"schema":"https://github.com/citation-style-language/schema/raw/master/csl-citation.json"}</w:instrText>
      </w:r>
      <w:r w:rsidR="00674CCA">
        <w:rPr>
          <w:rFonts w:ascii="Cambria" w:eastAsia="Cambria" w:hAnsi="Cambria" w:cs="Cambria"/>
          <w:sz w:val="24"/>
          <w:szCs w:val="24"/>
        </w:rPr>
        <w:fldChar w:fldCharType="separate"/>
      </w:r>
      <w:r w:rsidR="00674CCA" w:rsidRPr="00674CCA">
        <w:rPr>
          <w:rFonts w:ascii="Cambria" w:eastAsia="Cambria" w:hAnsi="Cambria" w:cs="Cambria"/>
          <w:noProof/>
          <w:sz w:val="24"/>
          <w:szCs w:val="24"/>
        </w:rPr>
        <w:t>(Zulchayra et al., 2020)</w:t>
      </w:r>
      <w:r w:rsidR="00674CCA">
        <w:rPr>
          <w:rFonts w:ascii="Cambria" w:eastAsia="Cambria" w:hAnsi="Cambria" w:cs="Cambria"/>
          <w:sz w:val="24"/>
          <w:szCs w:val="24"/>
        </w:rPr>
        <w:fldChar w:fldCharType="end"/>
      </w:r>
      <w:r w:rsidRPr="006E6551">
        <w:rPr>
          <w:rFonts w:ascii="Cambria" w:eastAsia="Cambria" w:hAnsi="Cambria" w:cs="Cambria"/>
          <w:sz w:val="24"/>
          <w:szCs w:val="24"/>
        </w:rPr>
        <w:t xml:space="preserve">, berbagai tingkat pengetahuan sebelumnya menghasilkan hasil yang berbeda ketika bantuan yang kurang terstruktur digunakan, tetapi hasil yang sama ketika digunakan dukungan yang terstruktur dengan baik. Sebagai akibat, </w:t>
      </w:r>
      <w:r w:rsidRPr="006E6551">
        <w:rPr>
          <w:rFonts w:ascii="Cambria" w:eastAsia="Cambria" w:hAnsi="Cambria" w:cs="Cambria"/>
          <w:sz w:val="24"/>
          <w:szCs w:val="24"/>
        </w:rPr>
        <w:lastRenderedPageBreak/>
        <w:t xml:space="preserve">kami menyimpulkan bahwa </w:t>
      </w:r>
      <w:r w:rsidR="0097372A">
        <w:rPr>
          <w:rFonts w:ascii="Cambria" w:eastAsia="Cambria" w:hAnsi="Cambria" w:cs="Cambria"/>
          <w:sz w:val="24"/>
          <w:szCs w:val="24"/>
        </w:rPr>
        <w:t>mahasiswa</w:t>
      </w:r>
      <w:r w:rsidRPr="006E6551">
        <w:rPr>
          <w:rFonts w:ascii="Cambria" w:eastAsia="Cambria" w:hAnsi="Cambria" w:cs="Cambria"/>
          <w:sz w:val="24"/>
          <w:szCs w:val="24"/>
        </w:rPr>
        <w:t xml:space="preserve"> dapat menggunakan pencarian bantuan instrumental untuk mendapatkan bantuan belajar berkualitas tinggi. Jika instruktur mengharapkan </w:t>
      </w:r>
      <w:r w:rsidR="0097372A">
        <w:rPr>
          <w:rFonts w:ascii="Cambria" w:eastAsia="Cambria" w:hAnsi="Cambria" w:cs="Cambria"/>
          <w:sz w:val="24"/>
          <w:szCs w:val="24"/>
        </w:rPr>
        <w:t>mahasiswa</w:t>
      </w:r>
      <w:r w:rsidRPr="006E6551">
        <w:rPr>
          <w:rFonts w:ascii="Cambria" w:eastAsia="Cambria" w:hAnsi="Cambria" w:cs="Cambria"/>
          <w:sz w:val="24"/>
          <w:szCs w:val="24"/>
        </w:rPr>
        <w:t xml:space="preserve"> menggunakan pencarian bantuan instrumental untuk mempromosikan pembelajaran, mengurangi beban kognitif merupakan langkah penting dalam memastikan bahwa </w:t>
      </w:r>
      <w:r w:rsidR="0097372A">
        <w:rPr>
          <w:rFonts w:ascii="Cambria" w:eastAsia="Cambria" w:hAnsi="Cambria" w:cs="Cambria"/>
          <w:sz w:val="24"/>
          <w:szCs w:val="24"/>
        </w:rPr>
        <w:t>mahasiswa</w:t>
      </w:r>
      <w:r w:rsidRPr="006E6551">
        <w:rPr>
          <w:rFonts w:ascii="Cambria" w:eastAsia="Cambria" w:hAnsi="Cambria" w:cs="Cambria"/>
          <w:sz w:val="24"/>
          <w:szCs w:val="24"/>
        </w:rPr>
        <w:t xml:space="preserve"> memiliki sumber daya kognitif yang dapat diakses untuk mengelola pencarian bantuan instrumental.</w:t>
      </w:r>
    </w:p>
    <w:p w14:paraId="20118119" w14:textId="0D3CBC8B" w:rsidR="006E6551" w:rsidRPr="006E6551" w:rsidRDefault="006E6551" w:rsidP="006E6551">
      <w:pPr>
        <w:spacing w:before="60" w:after="0" w:line="276" w:lineRule="auto"/>
        <w:ind w:firstLine="720"/>
        <w:jc w:val="both"/>
        <w:rPr>
          <w:rFonts w:ascii="Cambria" w:eastAsia="Cambria" w:hAnsi="Cambria" w:cs="Cambria"/>
          <w:sz w:val="24"/>
          <w:szCs w:val="24"/>
        </w:rPr>
      </w:pPr>
      <w:r w:rsidRPr="006E6551">
        <w:rPr>
          <w:rFonts w:ascii="Cambria" w:eastAsia="Cambria" w:hAnsi="Cambria" w:cs="Cambria"/>
          <w:sz w:val="24"/>
          <w:szCs w:val="24"/>
        </w:rPr>
        <w:t xml:space="preserve">Selain itu, pencarian bantuan instrumental mengurangi efek beban kognitif pada keterlibatan belajar. Menurut logika yang sama, tingkat beban kognitif memengaruhi keterlibatan belajar melalui sumber daya kognitif yang dapat diakses, dan </w:t>
      </w:r>
      <w:r w:rsidR="0097372A">
        <w:rPr>
          <w:rFonts w:ascii="Cambria" w:eastAsia="Cambria" w:hAnsi="Cambria" w:cs="Cambria"/>
          <w:sz w:val="24"/>
          <w:szCs w:val="24"/>
        </w:rPr>
        <w:t>mahasiswa</w:t>
      </w:r>
      <w:r w:rsidRPr="006E6551">
        <w:rPr>
          <w:rFonts w:ascii="Cambria" w:eastAsia="Cambria" w:hAnsi="Cambria" w:cs="Cambria"/>
          <w:sz w:val="24"/>
          <w:szCs w:val="24"/>
        </w:rPr>
        <w:t xml:space="preserve"> mendapatkan dukungan yang tulus melalui pencarian bantuan instrumental, yang membantu mereka dalam membangun skema kognitif untuk meningkatkan keterlibatan belajar.</w:t>
      </w:r>
    </w:p>
    <w:p w14:paraId="5A92600A" w14:textId="6F84920A" w:rsidR="00FE392A" w:rsidRDefault="006E6551" w:rsidP="006E6551">
      <w:pPr>
        <w:spacing w:before="60" w:after="0" w:line="276" w:lineRule="auto"/>
        <w:ind w:firstLine="720"/>
        <w:jc w:val="both"/>
        <w:rPr>
          <w:rFonts w:ascii="Cambria" w:eastAsia="Cambria" w:hAnsi="Cambria" w:cs="Cambria"/>
          <w:sz w:val="24"/>
          <w:szCs w:val="24"/>
        </w:rPr>
      </w:pPr>
      <w:r w:rsidRPr="006E6551">
        <w:rPr>
          <w:rFonts w:ascii="Cambria" w:eastAsia="Cambria" w:hAnsi="Cambria" w:cs="Cambria"/>
          <w:sz w:val="24"/>
          <w:szCs w:val="24"/>
        </w:rPr>
        <w:t xml:space="preserve">Penelitian ini memiliki kekurangan, terlepas dari kelebihannya., kami tidak dapat menunjukkan hubungan sebab akibat. Untuk menarik kesimpulan kausal, penyelidikan eksperimental diperlukan, penelitian ini menggunakan keterlibatan yang dilaporkan sendiri daripada kinerja objektif. Ini mungkin mengakibatkan bias teknik umum. Metrik obyektif keterlibatan atau pencapaian dapat dimasukkan dalam penelitian masa depan. Ketiga, komponen sosial pembelajaran ditinggalkan. Studi di masa depan mungkin melihat bagaimana </w:t>
      </w:r>
      <w:r w:rsidR="0097372A">
        <w:rPr>
          <w:rFonts w:ascii="Cambria" w:eastAsia="Cambria" w:hAnsi="Cambria" w:cs="Cambria"/>
          <w:sz w:val="24"/>
          <w:szCs w:val="24"/>
        </w:rPr>
        <w:t>mahasiswa</w:t>
      </w:r>
      <w:r w:rsidRPr="006E6551">
        <w:rPr>
          <w:rFonts w:ascii="Cambria" w:eastAsia="Cambria" w:hAnsi="Cambria" w:cs="Cambria"/>
          <w:sz w:val="24"/>
          <w:szCs w:val="24"/>
        </w:rPr>
        <w:t xml:space="preserve"> terhubung dengan teman dan profesor mereka, karena mereka sering mencari bantuan dari orang-orang ini.</w:t>
      </w:r>
    </w:p>
    <w:p w14:paraId="3C7B562B" w14:textId="04B09710" w:rsidR="00FE392A" w:rsidRPr="006E6551" w:rsidRDefault="00FE392A" w:rsidP="00FE392A">
      <w:pPr>
        <w:spacing w:before="60" w:after="0" w:line="276" w:lineRule="auto"/>
        <w:jc w:val="both"/>
        <w:rPr>
          <w:rFonts w:ascii="Cambria" w:eastAsia="Cambria" w:hAnsi="Cambria" w:cs="Cambria"/>
          <w:b/>
          <w:bCs/>
          <w:sz w:val="24"/>
          <w:szCs w:val="24"/>
        </w:rPr>
      </w:pPr>
      <w:r w:rsidRPr="006E6551">
        <w:rPr>
          <w:rFonts w:ascii="Cambria" w:eastAsia="Cambria" w:hAnsi="Cambria" w:cs="Cambria"/>
          <w:b/>
          <w:bCs/>
          <w:sz w:val="24"/>
          <w:szCs w:val="24"/>
        </w:rPr>
        <w:t>3. Pengaruh Kepercayaan Terhadap Minat Maha</w:t>
      </w:r>
      <w:r w:rsidR="0097372A">
        <w:rPr>
          <w:rFonts w:ascii="Cambria" w:eastAsia="Cambria" w:hAnsi="Cambria" w:cs="Cambria"/>
          <w:b/>
          <w:bCs/>
          <w:sz w:val="24"/>
          <w:szCs w:val="24"/>
        </w:rPr>
        <w:t>mahasiswa</w:t>
      </w:r>
    </w:p>
    <w:p w14:paraId="62A59718" w14:textId="2544D7D4" w:rsidR="006E6551" w:rsidRPr="006E6551" w:rsidRDefault="00674CCA" w:rsidP="006E6551">
      <w:pPr>
        <w:spacing w:before="60" w:after="0" w:line="276" w:lineRule="auto"/>
        <w:ind w:firstLine="720"/>
        <w:jc w:val="both"/>
        <w:rPr>
          <w:rFonts w:ascii="Cambria" w:eastAsia="Cambria" w:hAnsi="Cambria" w:cs="Cambria"/>
          <w:sz w:val="24"/>
          <w:szCs w:val="24"/>
        </w:rPr>
      </w:pPr>
      <w:r>
        <w:rPr>
          <w:rFonts w:ascii="Cambria" w:eastAsia="Cambria" w:hAnsi="Cambria" w:cs="Cambria"/>
          <w:sz w:val="24"/>
          <w:szCs w:val="24"/>
        </w:rPr>
        <w:fldChar w:fldCharType="begin" w:fldLock="1"/>
      </w:r>
      <w:r>
        <w:rPr>
          <w:rFonts w:ascii="Cambria" w:eastAsia="Cambria" w:hAnsi="Cambria" w:cs="Cambria"/>
          <w:sz w:val="24"/>
          <w:szCs w:val="24"/>
        </w:rPr>
        <w:instrText>ADDIN CSL_CITATION {"citationItems":[{"id":"ITEM-1","itemData":{"DOI":"10.32877/eb.v5i3.652","ISSN":"2622-4291","abstract":"Akuntansi merupakan salah satu jurusan yang banyak diminati mahasiswa baik di perguruan tinggi negeri maupun swasta. Mahasiswa yang mendaftar di jurusan akuntansi karena berbagai alasan, termasuk persepsi masa depan pekerjaan yang cerah, prestise sosial dan kemajuan ekonomi. Pendidikan akuntansi yang profesional akan membentuk mahasiswa menjadi ahli di bidangnya. Tujuan pada penelitian ini untuk meliti bagaimana persepsi, motivasi, self efficacy dan pertimbangan pasar kerja dapat mempengaruhi minat berkarir mahasiswa program akutansi untuk berkarir sebagai konsultan pajak. Metode penelitian yang digunakan dalam penelitian ini merupakan desain penelitian kuantitatif, dengan sumber data primer dan sekunder. Populasi dalam penelitian ini melibatkan beberapa mahasiswa jurusan Akutansi di perguruan tinggi di Kota Batam pada semester ganjil yang berjumlah 612. Dalam penelitian ini teknik penentuan besar sampel menggunakan rumus slovin dengan total 242 responden. Dalam penelitian ini, metode pengambilan sampel yang digunakan adalah kombinasi non probability sampling dan pendekatan purposive sampling. Teknik analisis data menggunakan uji validitas, uji reliabilitas, uji normalitas, uji multikolinearitas, uji heteroskedastisitas, analisis regresi linier bergandan, analisis koefisien determinasi (R2), uji t dan uji f. Hasil penelitian menyebutkan bahwa persepsi, motivasi, self efficacy dan pertimbangan pasar kerja dapat mempengaruhi secara parsial dan simultan dengan positif dan signifikan terhadap minat berkarir mahasiswa program akutansi untuk berkarir sebagai konsultan pajak","author":[{"dropping-particle":"","family":"Juliana","given":"","non-dropping-particle":"","parse-names":false,"suffix":""},{"dropping-particle":"","family":"Viola Syukrina E Janrosl","given":"","non-dropping-particle":"","parse-names":false,"suffix":""}],"container-title":"eCo-Buss","id":"ITEM-1","issue":"3","issued":{"date-parts":[["2023"]]},"page":"921-934","title":"Faktor-Faktor Yang Mempengaruhi Minat Mahasiswa Program Akuntansi Untuk Berkarir Sebagai Konsultan Pajak","type":"article-journal","volume":"5"},"uris":["http://www.mendeley.com/documents/?uuid=319a4f50-fd9b-48f5-a91b-2339dc4e176d"]}],"mendeley":{"formattedCitation":"(Juliana &amp; Viola Syukrina E Janrosl, 2023)","plainTextFormattedCitation":"(Juliana &amp; Viola Syukrina E Janrosl, 2023)","previouslyFormattedCitation":"(Juliana &amp; Viola Syukrina E Janrosl, 2023)"},"properties":{"noteIndex":0},"schema":"https://github.com/citation-style-language/schema/raw/master/csl-citation.json"}</w:instrText>
      </w:r>
      <w:r>
        <w:rPr>
          <w:rFonts w:ascii="Cambria" w:eastAsia="Cambria" w:hAnsi="Cambria" w:cs="Cambria"/>
          <w:sz w:val="24"/>
          <w:szCs w:val="24"/>
        </w:rPr>
        <w:fldChar w:fldCharType="separate"/>
      </w:r>
      <w:r w:rsidRPr="00674CCA">
        <w:rPr>
          <w:rFonts w:ascii="Cambria" w:eastAsia="Cambria" w:hAnsi="Cambria" w:cs="Cambria"/>
          <w:noProof/>
          <w:sz w:val="24"/>
          <w:szCs w:val="24"/>
        </w:rPr>
        <w:t>(Juliana &amp; Viola Syukrina E Janrosl, 2023)</w:t>
      </w:r>
      <w:r>
        <w:rPr>
          <w:rFonts w:ascii="Cambria" w:eastAsia="Cambria" w:hAnsi="Cambria" w:cs="Cambria"/>
          <w:sz w:val="24"/>
          <w:szCs w:val="24"/>
        </w:rPr>
        <w:fldChar w:fldCharType="end"/>
      </w:r>
      <w:r w:rsidR="006E6551" w:rsidRPr="006E6551">
        <w:rPr>
          <w:rFonts w:ascii="Cambria" w:eastAsia="Cambria" w:hAnsi="Cambria" w:cs="Cambria"/>
          <w:sz w:val="24"/>
          <w:szCs w:val="24"/>
        </w:rPr>
        <w:t xml:space="preserve">secara khusus mencantumkan ciri-ciri instruktur yang sangat baik seperti kehangatan, kegembiraan, sering memberikan pujian, mampu berkomunikasi secara efektif, dan peka terhadap </w:t>
      </w:r>
      <w:r w:rsidR="0097372A">
        <w:rPr>
          <w:rFonts w:ascii="Cambria" w:eastAsia="Cambria" w:hAnsi="Cambria" w:cs="Cambria"/>
          <w:sz w:val="24"/>
          <w:szCs w:val="24"/>
        </w:rPr>
        <w:t>mahasiswa</w:t>
      </w:r>
      <w:r w:rsidR="006E6551" w:rsidRPr="006E6551">
        <w:rPr>
          <w:rFonts w:ascii="Cambria" w:eastAsia="Cambria" w:hAnsi="Cambria" w:cs="Cambria"/>
          <w:sz w:val="24"/>
          <w:szCs w:val="24"/>
        </w:rPr>
        <w:t xml:space="preserve">. Ini adalah sifat-sifat yang dimiliki orang tua saat mereka membesarkan anak-anak mereka. </w:t>
      </w:r>
      <w:r w:rsidR="0097372A">
        <w:rPr>
          <w:rFonts w:ascii="Cambria" w:eastAsia="Cambria" w:hAnsi="Cambria" w:cs="Cambria"/>
          <w:sz w:val="24"/>
          <w:szCs w:val="24"/>
        </w:rPr>
        <w:t>Dosen</w:t>
      </w:r>
      <w:r w:rsidR="006E6551" w:rsidRPr="006E6551">
        <w:rPr>
          <w:rFonts w:ascii="Cambria" w:eastAsia="Cambria" w:hAnsi="Cambria" w:cs="Cambria"/>
          <w:sz w:val="24"/>
          <w:szCs w:val="24"/>
        </w:rPr>
        <w:t xml:space="preserve"> yang memberikan bimbingan/arahan, hubungan emosional, dan sifat-sifat termasuk di antara tipe-tipe yang tercantum di bawah ini. </w:t>
      </w:r>
      <w:r w:rsidR="0097372A">
        <w:rPr>
          <w:rFonts w:ascii="Cambria" w:eastAsia="Cambria" w:hAnsi="Cambria" w:cs="Cambria"/>
          <w:sz w:val="24"/>
          <w:szCs w:val="24"/>
        </w:rPr>
        <w:t>Mahasiswa</w:t>
      </w:r>
      <w:r w:rsidR="006E6551" w:rsidRPr="006E6551">
        <w:rPr>
          <w:rFonts w:ascii="Cambria" w:eastAsia="Cambria" w:hAnsi="Cambria" w:cs="Cambria"/>
          <w:sz w:val="24"/>
          <w:szCs w:val="24"/>
        </w:rPr>
        <w:t xml:space="preserve"> melihat perilaku instruktur sebanding dengan orang tua mereka di rumah. Inilah faktor-faktor yang membangun kepercayaan, seperti yang mereka lakukan di masa kanak-kanak saat berhadapan dengan orang tua. Akibat dari kepercayaan ini, anak melihat orang tuanya sebagai panutan dalam proses pembelajaran sosialisasi. Menurut </w:t>
      </w:r>
      <w:r>
        <w:rPr>
          <w:rFonts w:ascii="Cambria" w:eastAsia="Cambria" w:hAnsi="Cambria" w:cs="Cambria"/>
          <w:sz w:val="24"/>
          <w:szCs w:val="24"/>
        </w:rPr>
        <w:fldChar w:fldCharType="begin" w:fldLock="1"/>
      </w:r>
      <w:r>
        <w:rPr>
          <w:rFonts w:ascii="Cambria" w:eastAsia="Cambria" w:hAnsi="Cambria" w:cs="Cambria"/>
          <w:sz w:val="24"/>
          <w:szCs w:val="24"/>
        </w:rPr>
        <w:instrText>ADDIN CSL_CITATION {"citationItems":[{"id":"ITEM-1","itemData":{"abstract":"Introduction/Main Objectives: To determine the influence of students' perceptions, motivation, interests and knowledge about taxes on career choices in the field of taxation. Background Problems: Lack of student interest in the taxation sector where it is difficult to find experts in the field of taxation. Novelty: Re- examining variables that have existed in previous studies with different research locations. Research Methods: Type of quantitative research with data collection methods using the questionnaire method which is distributed online, sampling using the slovin formula with a population of 274 students and analysis tools using SPSS 25. Finding/Results: Partially variable perceptions, motivation, and student knowledge about taxes do not have a significant effect on career choices in the field of taxation and the interest variable has a significant effect on career choices in the field of taxation. Conclusion: Always deepen your knowledge of taxation by participating in a series of activities such as seminars, training or doing internships in the tax industry","author":[{"dropping-particle":"","family":"Aini","given":"Nur","non-dropping-particle":"","parse-names":false,"suffix":""},{"dropping-particle":"","family":"Goenawan","given":"Yohanes August","non-dropping-particle":"","parse-names":false,"suffix":""}],"container-title":"Jurnal intelektual","id":"ITEM-1","issue":"2","issued":{"date-parts":[["2022"]]},"page":"118-131","title":"Pengaruh Persepsi, Motivasi, Minat dan Pengetahuan Mahasiswa Tentang Pajak terhadap Pilihan Berkarir Dibidang Perpajakan (Studi Empiris STIE Putra Perdana Indonesia Tangerang)","type":"article-journal","volume":"1"},"uris":["http://www.mendeley.com/documents/?uuid=5ece61d0-782e-467d-9567-d4cf92b6292f"]}],"mendeley":{"formattedCitation":"(Aini &amp; Goenawan, 2022)","plainTextFormattedCitation":"(Aini &amp; Goenawan, 2022)","previouslyFormattedCitation":"(Aini &amp; Goenawan, 2022)"},"properties":{"noteIndex":0},"schema":"https://github.com/citation-style-language/schema/raw/master/csl-citation.json"}</w:instrText>
      </w:r>
      <w:r>
        <w:rPr>
          <w:rFonts w:ascii="Cambria" w:eastAsia="Cambria" w:hAnsi="Cambria" w:cs="Cambria"/>
          <w:sz w:val="24"/>
          <w:szCs w:val="24"/>
        </w:rPr>
        <w:fldChar w:fldCharType="separate"/>
      </w:r>
      <w:r w:rsidRPr="00674CCA">
        <w:rPr>
          <w:rFonts w:ascii="Cambria" w:eastAsia="Cambria" w:hAnsi="Cambria" w:cs="Cambria"/>
          <w:noProof/>
          <w:sz w:val="24"/>
          <w:szCs w:val="24"/>
        </w:rPr>
        <w:t>(Aini &amp; Goenawan, 2022)</w:t>
      </w:r>
      <w:r>
        <w:rPr>
          <w:rFonts w:ascii="Cambria" w:eastAsia="Cambria" w:hAnsi="Cambria" w:cs="Cambria"/>
          <w:sz w:val="24"/>
          <w:szCs w:val="24"/>
        </w:rPr>
        <w:fldChar w:fldCharType="end"/>
      </w:r>
      <w:r w:rsidR="006E6551" w:rsidRPr="006E6551">
        <w:rPr>
          <w:rFonts w:ascii="Cambria" w:eastAsia="Cambria" w:hAnsi="Cambria" w:cs="Cambria"/>
          <w:sz w:val="24"/>
          <w:szCs w:val="24"/>
        </w:rPr>
        <w:t>, model peniruan dari anak dipandang sebagai hangat, terhormat, mampu mengendalikan sumber daya, dan memiliki kemampuan untuk meningkatkan perilaku.</w:t>
      </w:r>
    </w:p>
    <w:p w14:paraId="05A26E01" w14:textId="14AE2C49" w:rsidR="006E6551" w:rsidRPr="006E6551" w:rsidRDefault="006E6551" w:rsidP="006E6551">
      <w:pPr>
        <w:spacing w:before="60" w:after="0" w:line="276" w:lineRule="auto"/>
        <w:ind w:firstLine="720"/>
        <w:jc w:val="both"/>
        <w:rPr>
          <w:rFonts w:ascii="Cambria" w:eastAsia="Cambria" w:hAnsi="Cambria" w:cs="Cambria"/>
          <w:sz w:val="24"/>
          <w:szCs w:val="24"/>
        </w:rPr>
      </w:pPr>
      <w:r w:rsidRPr="006E6551">
        <w:rPr>
          <w:rFonts w:ascii="Cambria" w:eastAsia="Cambria" w:hAnsi="Cambria" w:cs="Cambria"/>
          <w:sz w:val="24"/>
          <w:szCs w:val="24"/>
        </w:rPr>
        <w:t xml:space="preserve">Beberapa jawaban dilontarkan, antara lain “Saya percaya </w:t>
      </w:r>
      <w:r w:rsidR="0097372A">
        <w:rPr>
          <w:rFonts w:ascii="Cambria" w:eastAsia="Cambria" w:hAnsi="Cambria" w:cs="Cambria"/>
          <w:sz w:val="24"/>
          <w:szCs w:val="24"/>
        </w:rPr>
        <w:t>Dosen</w:t>
      </w:r>
      <w:r w:rsidRPr="006E6551">
        <w:rPr>
          <w:rFonts w:ascii="Cambria" w:eastAsia="Cambria" w:hAnsi="Cambria" w:cs="Cambria"/>
          <w:sz w:val="24"/>
          <w:szCs w:val="24"/>
        </w:rPr>
        <w:t xml:space="preserve"> dan karena </w:t>
      </w:r>
      <w:r w:rsidR="0097372A">
        <w:rPr>
          <w:rFonts w:ascii="Cambria" w:eastAsia="Cambria" w:hAnsi="Cambria" w:cs="Cambria"/>
          <w:sz w:val="24"/>
          <w:szCs w:val="24"/>
        </w:rPr>
        <w:t>Dosen</w:t>
      </w:r>
      <w:r w:rsidRPr="006E6551">
        <w:rPr>
          <w:rFonts w:ascii="Cambria" w:eastAsia="Cambria" w:hAnsi="Cambria" w:cs="Cambria"/>
          <w:sz w:val="24"/>
          <w:szCs w:val="24"/>
        </w:rPr>
        <w:t xml:space="preserve"> memberi kami ilmu di </w:t>
      </w:r>
      <w:r w:rsidR="00674CCA">
        <w:rPr>
          <w:rFonts w:ascii="Cambria" w:eastAsia="Cambria" w:hAnsi="Cambria" w:cs="Cambria"/>
          <w:sz w:val="24"/>
          <w:szCs w:val="24"/>
        </w:rPr>
        <w:t>universitas</w:t>
      </w:r>
      <w:r w:rsidRPr="006E6551">
        <w:rPr>
          <w:rFonts w:ascii="Cambria" w:eastAsia="Cambria" w:hAnsi="Cambria" w:cs="Cambria"/>
          <w:sz w:val="24"/>
          <w:szCs w:val="24"/>
        </w:rPr>
        <w:t xml:space="preserve">,” dan “Karena mereka memberi saya ilmu yang berarti.” “Karena niat </w:t>
      </w:r>
      <w:r w:rsidR="0097372A">
        <w:rPr>
          <w:rFonts w:ascii="Cambria" w:eastAsia="Cambria" w:hAnsi="Cambria" w:cs="Cambria"/>
          <w:sz w:val="24"/>
          <w:szCs w:val="24"/>
        </w:rPr>
        <w:t>Dosen</w:t>
      </w:r>
      <w:r w:rsidRPr="006E6551">
        <w:rPr>
          <w:rFonts w:ascii="Cambria" w:eastAsia="Cambria" w:hAnsi="Cambria" w:cs="Cambria"/>
          <w:sz w:val="24"/>
          <w:szCs w:val="24"/>
        </w:rPr>
        <w:t xml:space="preserve"> satu-satunya adalah memberikan ilmu kepada saya dan teman-teman saya.” </w:t>
      </w:r>
      <w:r w:rsidR="0097372A">
        <w:rPr>
          <w:rFonts w:ascii="Cambria" w:eastAsia="Cambria" w:hAnsi="Cambria" w:cs="Cambria"/>
          <w:sz w:val="24"/>
          <w:szCs w:val="24"/>
        </w:rPr>
        <w:t>Dosen</w:t>
      </w:r>
      <w:r w:rsidRPr="006E6551">
        <w:rPr>
          <w:rFonts w:ascii="Cambria" w:eastAsia="Cambria" w:hAnsi="Cambria" w:cs="Cambria"/>
          <w:sz w:val="24"/>
          <w:szCs w:val="24"/>
        </w:rPr>
        <w:t xml:space="preserve"> berfungsi untuk membantu </w:t>
      </w:r>
      <w:r w:rsidR="0097372A">
        <w:rPr>
          <w:rFonts w:ascii="Cambria" w:eastAsia="Cambria" w:hAnsi="Cambria" w:cs="Cambria"/>
          <w:sz w:val="24"/>
          <w:szCs w:val="24"/>
        </w:rPr>
        <w:t>mahasiswa</w:t>
      </w:r>
      <w:r w:rsidRPr="006E6551">
        <w:rPr>
          <w:rFonts w:ascii="Cambria" w:eastAsia="Cambria" w:hAnsi="Cambria" w:cs="Cambria"/>
          <w:sz w:val="24"/>
          <w:szCs w:val="24"/>
        </w:rPr>
        <w:t xml:space="preserve"> dalam memperoleh kompetensi tertentu. Selanjutnya, kemampuan </w:t>
      </w:r>
      <w:r w:rsidR="0097372A">
        <w:rPr>
          <w:rFonts w:ascii="Cambria" w:eastAsia="Cambria" w:hAnsi="Cambria" w:cs="Cambria"/>
          <w:sz w:val="24"/>
          <w:szCs w:val="24"/>
        </w:rPr>
        <w:t>Dosen</w:t>
      </w:r>
      <w:r w:rsidRPr="006E6551">
        <w:rPr>
          <w:rFonts w:ascii="Cambria" w:eastAsia="Cambria" w:hAnsi="Cambria" w:cs="Cambria"/>
          <w:sz w:val="24"/>
          <w:szCs w:val="24"/>
        </w:rPr>
        <w:t xml:space="preserve"> untuk mewujudkan tujuan program menjadi tindakan dicatat. </w:t>
      </w:r>
      <w:r w:rsidR="0097372A">
        <w:rPr>
          <w:rFonts w:ascii="Cambria" w:eastAsia="Cambria" w:hAnsi="Cambria" w:cs="Cambria"/>
          <w:sz w:val="24"/>
          <w:szCs w:val="24"/>
        </w:rPr>
        <w:t>Dosen</w:t>
      </w:r>
      <w:r w:rsidRPr="006E6551">
        <w:rPr>
          <w:rFonts w:ascii="Cambria" w:eastAsia="Cambria" w:hAnsi="Cambria" w:cs="Cambria"/>
          <w:sz w:val="24"/>
          <w:szCs w:val="24"/>
        </w:rPr>
        <w:t xml:space="preserve"> bertanggung jawab untuk mengatur kelas berdasarkan kebutuhan </w:t>
      </w:r>
      <w:r w:rsidR="0097372A">
        <w:rPr>
          <w:rFonts w:ascii="Cambria" w:eastAsia="Cambria" w:hAnsi="Cambria" w:cs="Cambria"/>
          <w:sz w:val="24"/>
          <w:szCs w:val="24"/>
        </w:rPr>
        <w:t>mahasiswa</w:t>
      </w:r>
      <w:r w:rsidRPr="006E6551">
        <w:rPr>
          <w:rFonts w:ascii="Cambria" w:eastAsia="Cambria" w:hAnsi="Cambria" w:cs="Cambria"/>
          <w:sz w:val="24"/>
          <w:szCs w:val="24"/>
        </w:rPr>
        <w:t xml:space="preserve">, mengelola dinamika kelompok di kelas, dan berinteraksi dengan setiap </w:t>
      </w:r>
      <w:r w:rsidR="0097372A">
        <w:rPr>
          <w:rFonts w:ascii="Cambria" w:eastAsia="Cambria" w:hAnsi="Cambria" w:cs="Cambria"/>
          <w:sz w:val="24"/>
          <w:szCs w:val="24"/>
        </w:rPr>
        <w:t>mahasiswa</w:t>
      </w:r>
      <w:r w:rsidRPr="006E6551">
        <w:rPr>
          <w:rFonts w:ascii="Cambria" w:eastAsia="Cambria" w:hAnsi="Cambria" w:cs="Cambria"/>
          <w:sz w:val="24"/>
          <w:szCs w:val="24"/>
        </w:rPr>
        <w:t xml:space="preserve"> secara pribadi. </w:t>
      </w:r>
      <w:r w:rsidR="0097372A">
        <w:rPr>
          <w:rFonts w:ascii="Cambria" w:eastAsia="Cambria" w:hAnsi="Cambria" w:cs="Cambria"/>
          <w:sz w:val="24"/>
          <w:szCs w:val="24"/>
        </w:rPr>
        <w:t>Dosen</w:t>
      </w:r>
      <w:r w:rsidRPr="006E6551">
        <w:rPr>
          <w:rFonts w:ascii="Cambria" w:eastAsia="Cambria" w:hAnsi="Cambria" w:cs="Cambria"/>
          <w:sz w:val="24"/>
          <w:szCs w:val="24"/>
        </w:rPr>
        <w:t xml:space="preserve"> menempati urutan ketiga dalam hal kepercayaan </w:t>
      </w:r>
      <w:r w:rsidR="0097372A">
        <w:rPr>
          <w:rFonts w:ascii="Cambria" w:eastAsia="Cambria" w:hAnsi="Cambria" w:cs="Cambria"/>
          <w:sz w:val="24"/>
          <w:szCs w:val="24"/>
        </w:rPr>
        <w:lastRenderedPageBreak/>
        <w:t>mahasiswa</w:t>
      </w:r>
      <w:r w:rsidRPr="006E6551">
        <w:rPr>
          <w:rFonts w:ascii="Cambria" w:eastAsia="Cambria" w:hAnsi="Cambria" w:cs="Cambria"/>
          <w:sz w:val="24"/>
          <w:szCs w:val="24"/>
        </w:rPr>
        <w:t xml:space="preserve"> karena pekerjaan atau jabatannya. Tidak jauh dari kelompok ini persepsi </w:t>
      </w:r>
      <w:r w:rsidR="0097372A">
        <w:rPr>
          <w:rFonts w:ascii="Cambria" w:eastAsia="Cambria" w:hAnsi="Cambria" w:cs="Cambria"/>
          <w:sz w:val="24"/>
          <w:szCs w:val="24"/>
        </w:rPr>
        <w:t>mahasiswa</w:t>
      </w:r>
      <w:r w:rsidRPr="006E6551">
        <w:rPr>
          <w:rFonts w:ascii="Cambria" w:eastAsia="Cambria" w:hAnsi="Cambria" w:cs="Cambria"/>
          <w:sz w:val="24"/>
          <w:szCs w:val="24"/>
        </w:rPr>
        <w:t xml:space="preserve"> tentang instruktur bekerja tanpa mengharapkan imbalan apa pun,</w:t>
      </w:r>
    </w:p>
    <w:p w14:paraId="4362E0A0" w14:textId="44D50378" w:rsidR="00FE392A" w:rsidRPr="00FE392A" w:rsidRDefault="006E6551" w:rsidP="006E6551">
      <w:pPr>
        <w:spacing w:before="60" w:after="0" w:line="276" w:lineRule="auto"/>
        <w:ind w:firstLine="720"/>
        <w:jc w:val="both"/>
        <w:rPr>
          <w:rFonts w:ascii="Cambria" w:eastAsia="Cambria" w:hAnsi="Cambria" w:cs="Cambria"/>
          <w:sz w:val="24"/>
          <w:szCs w:val="24"/>
        </w:rPr>
      </w:pPr>
      <w:r w:rsidRPr="006E6551">
        <w:rPr>
          <w:rFonts w:ascii="Cambria" w:eastAsia="Cambria" w:hAnsi="Cambria" w:cs="Cambria"/>
          <w:sz w:val="24"/>
          <w:szCs w:val="24"/>
        </w:rPr>
        <w:t xml:space="preserve">Contoh topik ini adalah “Karena </w:t>
      </w:r>
      <w:r w:rsidR="0097372A">
        <w:rPr>
          <w:rFonts w:ascii="Cambria" w:eastAsia="Cambria" w:hAnsi="Cambria" w:cs="Cambria"/>
          <w:sz w:val="24"/>
          <w:szCs w:val="24"/>
        </w:rPr>
        <w:t>Dosen</w:t>
      </w:r>
      <w:r w:rsidRPr="006E6551">
        <w:rPr>
          <w:rFonts w:ascii="Cambria" w:eastAsia="Cambria" w:hAnsi="Cambria" w:cs="Cambria"/>
          <w:sz w:val="24"/>
          <w:szCs w:val="24"/>
        </w:rPr>
        <w:t xml:space="preserve"> adalah pendidik dan pembimbing di sekolah” dan “Karena mereka adalah pahlawan”. Merekalah yang mengajar kita tanpa mengharapkan imbalan apa pun", "Karena mereka adalah pendidik", "</w:t>
      </w:r>
      <w:r w:rsidR="0097372A">
        <w:rPr>
          <w:rFonts w:ascii="Cambria" w:eastAsia="Cambria" w:hAnsi="Cambria" w:cs="Cambria"/>
          <w:sz w:val="24"/>
          <w:szCs w:val="24"/>
        </w:rPr>
        <w:t>Dosen</w:t>
      </w:r>
      <w:r w:rsidRPr="006E6551">
        <w:rPr>
          <w:rFonts w:ascii="Cambria" w:eastAsia="Cambria" w:hAnsi="Cambria" w:cs="Cambria"/>
          <w:sz w:val="24"/>
          <w:szCs w:val="24"/>
        </w:rPr>
        <w:t xml:space="preserve"> adalah mereka yang melayani kita dan tidak akan pernah membohongi </w:t>
      </w:r>
      <w:r w:rsidR="0097372A">
        <w:rPr>
          <w:rFonts w:ascii="Cambria" w:eastAsia="Cambria" w:hAnsi="Cambria" w:cs="Cambria"/>
          <w:sz w:val="24"/>
          <w:szCs w:val="24"/>
        </w:rPr>
        <w:t>mahasiswa</w:t>
      </w:r>
      <w:r w:rsidRPr="006E6551">
        <w:rPr>
          <w:rFonts w:ascii="Cambria" w:eastAsia="Cambria" w:hAnsi="Cambria" w:cs="Cambria"/>
          <w:sz w:val="24"/>
          <w:szCs w:val="24"/>
        </w:rPr>
        <w:t xml:space="preserve">nya". </w:t>
      </w:r>
      <w:r w:rsidR="0097372A">
        <w:rPr>
          <w:rFonts w:ascii="Cambria" w:eastAsia="Cambria" w:hAnsi="Cambria" w:cs="Cambria"/>
          <w:sz w:val="24"/>
          <w:szCs w:val="24"/>
        </w:rPr>
        <w:t>Dosen</w:t>
      </w:r>
      <w:r w:rsidRPr="006E6551">
        <w:rPr>
          <w:rFonts w:ascii="Cambria" w:eastAsia="Cambria" w:hAnsi="Cambria" w:cs="Cambria"/>
          <w:sz w:val="24"/>
          <w:szCs w:val="24"/>
        </w:rPr>
        <w:t xml:space="preserve"> dan mengikuti/mematuhinya Dalam konteks Jawa, istilah '</w:t>
      </w:r>
      <w:r w:rsidR="0097372A">
        <w:rPr>
          <w:rFonts w:ascii="Cambria" w:eastAsia="Cambria" w:hAnsi="Cambria" w:cs="Cambria"/>
          <w:sz w:val="24"/>
          <w:szCs w:val="24"/>
        </w:rPr>
        <w:t>Dosen</w:t>
      </w:r>
      <w:r w:rsidRPr="006E6551">
        <w:rPr>
          <w:rFonts w:ascii="Cambria" w:eastAsia="Cambria" w:hAnsi="Cambria" w:cs="Cambria"/>
          <w:sz w:val="24"/>
          <w:szCs w:val="24"/>
        </w:rPr>
        <w:t xml:space="preserve">' (pengajar) bisa jadi merupakan akronim dari 'digugu' (memperhatikan) dan 'ditiru' (mengikuti/mematuhi), yang menegaskan sikap </w:t>
      </w:r>
      <w:r w:rsidR="0097372A">
        <w:rPr>
          <w:rFonts w:ascii="Cambria" w:eastAsia="Cambria" w:hAnsi="Cambria" w:cs="Cambria"/>
          <w:sz w:val="24"/>
          <w:szCs w:val="24"/>
        </w:rPr>
        <w:t>mahasiswa</w:t>
      </w:r>
      <w:r w:rsidRPr="006E6551">
        <w:rPr>
          <w:rFonts w:ascii="Cambria" w:eastAsia="Cambria" w:hAnsi="Cambria" w:cs="Cambria"/>
          <w:sz w:val="24"/>
          <w:szCs w:val="24"/>
        </w:rPr>
        <w:t xml:space="preserve"> terhadap instruktur .</w:t>
      </w:r>
    </w:p>
    <w:p w14:paraId="43501FCF" w14:textId="77777777" w:rsidR="00A27BA3" w:rsidRDefault="00DA6B6F" w:rsidP="00FE392A">
      <w:pPr>
        <w:spacing w:after="60" w:line="276" w:lineRule="auto"/>
        <w:rPr>
          <w:rFonts w:ascii="Cambria" w:eastAsia="Cambria" w:hAnsi="Cambria" w:cs="Cambria"/>
          <w:b/>
          <w:sz w:val="24"/>
          <w:szCs w:val="24"/>
        </w:rPr>
      </w:pPr>
      <w:r>
        <w:rPr>
          <w:rFonts w:ascii="Cambria" w:eastAsia="Cambria" w:hAnsi="Cambria" w:cs="Cambria"/>
          <w:b/>
          <w:sz w:val="24"/>
          <w:szCs w:val="24"/>
        </w:rPr>
        <w:t>KESIMPULAN DAN SARAN</w:t>
      </w:r>
    </w:p>
    <w:p w14:paraId="73E11F30" w14:textId="1F66729D" w:rsidR="00A27BA3" w:rsidRDefault="006E6551">
      <w:pPr>
        <w:spacing w:after="60" w:line="276" w:lineRule="auto"/>
        <w:jc w:val="both"/>
        <w:rPr>
          <w:rFonts w:ascii="Cambria" w:eastAsia="Cambria" w:hAnsi="Cambria" w:cs="Cambria"/>
          <w:sz w:val="24"/>
          <w:szCs w:val="24"/>
        </w:rPr>
      </w:pPr>
      <w:r w:rsidRPr="006E6551">
        <w:rPr>
          <w:rFonts w:ascii="Cambria" w:eastAsia="Cambria" w:hAnsi="Cambria" w:cs="Cambria"/>
          <w:sz w:val="24"/>
          <w:szCs w:val="24"/>
        </w:rPr>
        <w:t xml:space="preserve">Berdasarkan fakta di atas, nampaknya </w:t>
      </w:r>
      <w:r w:rsidR="0097372A">
        <w:rPr>
          <w:rFonts w:ascii="Cambria" w:eastAsia="Cambria" w:hAnsi="Cambria" w:cs="Cambria"/>
          <w:sz w:val="24"/>
          <w:szCs w:val="24"/>
        </w:rPr>
        <w:t>mahasiswa</w:t>
      </w:r>
      <w:r w:rsidRPr="006E6551">
        <w:rPr>
          <w:rFonts w:ascii="Cambria" w:eastAsia="Cambria" w:hAnsi="Cambria" w:cs="Cambria"/>
          <w:sz w:val="24"/>
          <w:szCs w:val="24"/>
        </w:rPr>
        <w:t xml:space="preserve"> </w:t>
      </w:r>
      <w:r w:rsidR="0097372A">
        <w:rPr>
          <w:rFonts w:ascii="Cambria" w:eastAsia="Cambria" w:hAnsi="Cambria" w:cs="Cambria"/>
          <w:sz w:val="24"/>
          <w:szCs w:val="24"/>
        </w:rPr>
        <w:t>MAHASISWA FAI</w:t>
      </w:r>
      <w:r w:rsidRPr="006E6551">
        <w:rPr>
          <w:rFonts w:ascii="Cambria" w:eastAsia="Cambria" w:hAnsi="Cambria" w:cs="Cambria"/>
          <w:sz w:val="24"/>
          <w:szCs w:val="24"/>
        </w:rPr>
        <w:t xml:space="preserve"> mempercayai </w:t>
      </w:r>
      <w:r w:rsidR="0097372A">
        <w:rPr>
          <w:rFonts w:ascii="Cambria" w:eastAsia="Cambria" w:hAnsi="Cambria" w:cs="Cambria"/>
          <w:sz w:val="24"/>
          <w:szCs w:val="24"/>
        </w:rPr>
        <w:t>Dosen</w:t>
      </w:r>
      <w:r w:rsidRPr="006E6551">
        <w:rPr>
          <w:rFonts w:ascii="Cambria" w:eastAsia="Cambria" w:hAnsi="Cambria" w:cs="Cambria"/>
          <w:sz w:val="24"/>
          <w:szCs w:val="24"/>
        </w:rPr>
        <w:t xml:space="preserve"> karena menganggap pengajar adalah orang tua yang berkompeten dalam menyampaikan informasi dan sudah selayaknya ditetapkan sebagai </w:t>
      </w:r>
      <w:r w:rsidR="0097372A">
        <w:rPr>
          <w:rFonts w:ascii="Cambria" w:eastAsia="Cambria" w:hAnsi="Cambria" w:cs="Cambria"/>
          <w:sz w:val="24"/>
          <w:szCs w:val="24"/>
        </w:rPr>
        <w:t>Dosen</w:t>
      </w:r>
      <w:r w:rsidRPr="006E6551">
        <w:rPr>
          <w:rFonts w:ascii="Cambria" w:eastAsia="Cambria" w:hAnsi="Cambria" w:cs="Cambria"/>
          <w:sz w:val="24"/>
          <w:szCs w:val="24"/>
        </w:rPr>
        <w:t xml:space="preserve">. Akibatnya, perilaku </w:t>
      </w:r>
      <w:r w:rsidR="0097372A">
        <w:rPr>
          <w:rFonts w:ascii="Cambria" w:eastAsia="Cambria" w:hAnsi="Cambria" w:cs="Cambria"/>
          <w:sz w:val="24"/>
          <w:szCs w:val="24"/>
        </w:rPr>
        <w:t>Dosen</w:t>
      </w:r>
      <w:r w:rsidRPr="006E6551">
        <w:rPr>
          <w:rFonts w:ascii="Cambria" w:eastAsia="Cambria" w:hAnsi="Cambria" w:cs="Cambria"/>
          <w:sz w:val="24"/>
          <w:szCs w:val="24"/>
        </w:rPr>
        <w:t xml:space="preserve"> yang mirip dengan perilaku orang tua di rumah akan menimbulkan kepercayaan anak, yang akan menjadi dasar bagi anak untuk belajar lebih baik. </w:t>
      </w:r>
      <w:r w:rsidR="0097372A">
        <w:rPr>
          <w:rFonts w:ascii="Cambria" w:eastAsia="Cambria" w:hAnsi="Cambria" w:cs="Cambria"/>
          <w:sz w:val="24"/>
          <w:szCs w:val="24"/>
        </w:rPr>
        <w:t>Dosen</w:t>
      </w:r>
      <w:r w:rsidRPr="006E6551">
        <w:rPr>
          <w:rFonts w:ascii="Cambria" w:eastAsia="Cambria" w:hAnsi="Cambria" w:cs="Cambria"/>
          <w:sz w:val="24"/>
          <w:szCs w:val="24"/>
        </w:rPr>
        <w:t xml:space="preserve"> harus menjadi panutan anak dalam kapasitas anak untuk berinteraksi di luar rumah. Kompetensi </w:t>
      </w:r>
      <w:r w:rsidR="0097372A">
        <w:rPr>
          <w:rFonts w:ascii="Cambria" w:eastAsia="Cambria" w:hAnsi="Cambria" w:cs="Cambria"/>
          <w:sz w:val="24"/>
          <w:szCs w:val="24"/>
        </w:rPr>
        <w:t>Dosen</w:t>
      </w:r>
      <w:r w:rsidRPr="006E6551">
        <w:rPr>
          <w:rFonts w:ascii="Cambria" w:eastAsia="Cambria" w:hAnsi="Cambria" w:cs="Cambria"/>
          <w:sz w:val="24"/>
          <w:szCs w:val="24"/>
        </w:rPr>
        <w:t xml:space="preserve"> dalam mengajar juga merupakan faktor kunci dalam mengembangkan keimanan </w:t>
      </w:r>
      <w:r w:rsidR="0097372A">
        <w:rPr>
          <w:rFonts w:ascii="Cambria" w:eastAsia="Cambria" w:hAnsi="Cambria" w:cs="Cambria"/>
          <w:sz w:val="24"/>
          <w:szCs w:val="24"/>
        </w:rPr>
        <w:t>mahasiswa</w:t>
      </w:r>
      <w:r w:rsidRPr="006E6551">
        <w:rPr>
          <w:rFonts w:ascii="Cambria" w:eastAsia="Cambria" w:hAnsi="Cambria" w:cs="Cambria"/>
          <w:sz w:val="24"/>
          <w:szCs w:val="24"/>
        </w:rPr>
        <w:t xml:space="preserve"> terhadap </w:t>
      </w:r>
      <w:r w:rsidR="0097372A">
        <w:rPr>
          <w:rFonts w:ascii="Cambria" w:eastAsia="Cambria" w:hAnsi="Cambria" w:cs="Cambria"/>
          <w:sz w:val="24"/>
          <w:szCs w:val="24"/>
        </w:rPr>
        <w:t>Dosen</w:t>
      </w:r>
      <w:r w:rsidRPr="006E6551">
        <w:rPr>
          <w:rFonts w:ascii="Cambria" w:eastAsia="Cambria" w:hAnsi="Cambria" w:cs="Cambria"/>
          <w:sz w:val="24"/>
          <w:szCs w:val="24"/>
        </w:rPr>
        <w:t>. Penguasaan dinamika kelas, penguasaan strategi pengajaran, penguasaan isi mata kuliah, dan kemampuan mengenal anak dengan baik merupakan contoh dari kompetensi tersebut.</w:t>
      </w:r>
    </w:p>
    <w:p w14:paraId="1E767039" w14:textId="77777777" w:rsidR="00A27BA3" w:rsidRDefault="00A27BA3">
      <w:pPr>
        <w:spacing w:after="60" w:line="276" w:lineRule="auto"/>
        <w:rPr>
          <w:rFonts w:ascii="Cambria" w:eastAsia="Cambria" w:hAnsi="Cambria" w:cs="Cambria"/>
          <w:b/>
          <w:sz w:val="24"/>
          <w:szCs w:val="24"/>
        </w:rPr>
      </w:pPr>
    </w:p>
    <w:p w14:paraId="40BBF0E1" w14:textId="77777777" w:rsidR="00A27BA3" w:rsidRDefault="00DA6B6F">
      <w:pPr>
        <w:spacing w:after="60" w:line="276" w:lineRule="auto"/>
        <w:rPr>
          <w:rFonts w:ascii="Cambria" w:eastAsia="Cambria" w:hAnsi="Cambria" w:cs="Cambria"/>
          <w:b/>
          <w:sz w:val="24"/>
          <w:szCs w:val="24"/>
        </w:rPr>
      </w:pPr>
      <w:r>
        <w:rPr>
          <w:rFonts w:ascii="Cambria" w:eastAsia="Cambria" w:hAnsi="Cambria" w:cs="Cambria"/>
          <w:b/>
          <w:sz w:val="24"/>
          <w:szCs w:val="24"/>
        </w:rPr>
        <w:t>REFERENSI</w:t>
      </w:r>
    </w:p>
    <w:p w14:paraId="2DC2463F" w14:textId="2CA58974" w:rsidR="00674CCA" w:rsidRPr="00674CCA" w:rsidRDefault="00674CCA" w:rsidP="00674CCA">
      <w:pPr>
        <w:widowControl w:val="0"/>
        <w:autoSpaceDE w:val="0"/>
        <w:autoSpaceDN w:val="0"/>
        <w:adjustRightInd w:val="0"/>
        <w:spacing w:after="0" w:line="276" w:lineRule="auto"/>
        <w:ind w:left="480" w:hanging="480"/>
        <w:jc w:val="both"/>
        <w:rPr>
          <w:rFonts w:ascii="Cambria" w:hAnsi="Cambria" w:cs="Times New Roman"/>
          <w:noProof/>
          <w:sz w:val="24"/>
          <w:szCs w:val="24"/>
        </w:rPr>
      </w:pPr>
      <w:r>
        <w:rPr>
          <w:rFonts w:ascii="Cambria" w:eastAsia="Cambria" w:hAnsi="Cambria" w:cs="Cambria"/>
          <w:sz w:val="24"/>
          <w:szCs w:val="24"/>
        </w:rPr>
        <w:fldChar w:fldCharType="begin" w:fldLock="1"/>
      </w:r>
      <w:r>
        <w:rPr>
          <w:rFonts w:ascii="Cambria" w:eastAsia="Cambria" w:hAnsi="Cambria" w:cs="Cambria"/>
          <w:sz w:val="24"/>
          <w:szCs w:val="24"/>
        </w:rPr>
        <w:instrText xml:space="preserve">ADDIN Mendeley Bibliography CSL_BIBLIOGRAPHY </w:instrText>
      </w:r>
      <w:r>
        <w:rPr>
          <w:rFonts w:ascii="Cambria" w:eastAsia="Cambria" w:hAnsi="Cambria" w:cs="Cambria"/>
          <w:sz w:val="24"/>
          <w:szCs w:val="24"/>
        </w:rPr>
        <w:fldChar w:fldCharType="separate"/>
      </w:r>
      <w:r w:rsidRPr="00674CCA">
        <w:rPr>
          <w:rFonts w:ascii="Cambria" w:hAnsi="Cambria" w:cs="Times New Roman"/>
          <w:noProof/>
          <w:sz w:val="24"/>
          <w:szCs w:val="24"/>
        </w:rPr>
        <w:t xml:space="preserve">Aini, N., &amp; Goenawan, Y. A. (2022). Pengaruh Persepsi, Motivasi, Minat dan Pengetahuan Mahasiswa Tentang Pajak terhadap Pilihan Berkarir Dibidang Perpajakan (Studi Empiris STIE Putra Perdana Indonesia Tangerang). </w:t>
      </w:r>
      <w:r w:rsidRPr="00674CCA">
        <w:rPr>
          <w:rFonts w:ascii="Cambria" w:hAnsi="Cambria" w:cs="Times New Roman"/>
          <w:i/>
          <w:iCs/>
          <w:noProof/>
          <w:sz w:val="24"/>
          <w:szCs w:val="24"/>
        </w:rPr>
        <w:t>Jurnal Intelektual</w:t>
      </w:r>
      <w:r w:rsidRPr="00674CCA">
        <w:rPr>
          <w:rFonts w:ascii="Cambria" w:hAnsi="Cambria" w:cs="Times New Roman"/>
          <w:noProof/>
          <w:sz w:val="24"/>
          <w:szCs w:val="24"/>
        </w:rPr>
        <w:t xml:space="preserve">, </w:t>
      </w:r>
      <w:r w:rsidRPr="00674CCA">
        <w:rPr>
          <w:rFonts w:ascii="Cambria" w:hAnsi="Cambria" w:cs="Times New Roman"/>
          <w:i/>
          <w:iCs/>
          <w:noProof/>
          <w:sz w:val="24"/>
          <w:szCs w:val="24"/>
        </w:rPr>
        <w:t>1</w:t>
      </w:r>
      <w:r w:rsidRPr="00674CCA">
        <w:rPr>
          <w:rFonts w:ascii="Cambria" w:hAnsi="Cambria" w:cs="Times New Roman"/>
          <w:noProof/>
          <w:sz w:val="24"/>
          <w:szCs w:val="24"/>
        </w:rPr>
        <w:t>(2), 118–131.</w:t>
      </w:r>
    </w:p>
    <w:p w14:paraId="110DAB51" w14:textId="77777777" w:rsidR="00674CCA" w:rsidRPr="00674CCA" w:rsidRDefault="00674CCA" w:rsidP="00674CCA">
      <w:pPr>
        <w:widowControl w:val="0"/>
        <w:autoSpaceDE w:val="0"/>
        <w:autoSpaceDN w:val="0"/>
        <w:adjustRightInd w:val="0"/>
        <w:spacing w:after="0" w:line="276" w:lineRule="auto"/>
        <w:ind w:left="480" w:hanging="480"/>
        <w:jc w:val="both"/>
        <w:rPr>
          <w:rFonts w:ascii="Cambria" w:hAnsi="Cambria" w:cs="Times New Roman"/>
          <w:noProof/>
          <w:sz w:val="24"/>
          <w:szCs w:val="24"/>
        </w:rPr>
      </w:pPr>
      <w:r w:rsidRPr="00674CCA">
        <w:rPr>
          <w:rFonts w:ascii="Cambria" w:hAnsi="Cambria" w:cs="Times New Roman"/>
          <w:noProof/>
          <w:sz w:val="24"/>
          <w:szCs w:val="24"/>
        </w:rPr>
        <w:t xml:space="preserve">Bugis, S. W., &amp; Anggraini, T. (2023). </w:t>
      </w:r>
      <w:r w:rsidRPr="00674CCA">
        <w:rPr>
          <w:rFonts w:ascii="Cambria" w:hAnsi="Cambria" w:cs="Times New Roman"/>
          <w:i/>
          <w:iCs/>
          <w:noProof/>
          <w:sz w:val="24"/>
          <w:szCs w:val="24"/>
        </w:rPr>
        <w:t>Pengaruh Tingkat Pengetahuan, Kualitas Layanan, Sosialisasi Produk dan Literasi Nasabah terhadap Eksistensi Bank Syariah Indonesia (BSI) di Tapanuli Tengah</w:t>
      </w:r>
      <w:r w:rsidRPr="00674CCA">
        <w:rPr>
          <w:rFonts w:ascii="Cambria" w:hAnsi="Cambria" w:cs="Times New Roman"/>
          <w:noProof/>
          <w:sz w:val="24"/>
          <w:szCs w:val="24"/>
        </w:rPr>
        <w:t xml:space="preserve">. </w:t>
      </w:r>
      <w:r w:rsidRPr="00674CCA">
        <w:rPr>
          <w:rFonts w:ascii="Cambria" w:hAnsi="Cambria" w:cs="Times New Roman"/>
          <w:i/>
          <w:iCs/>
          <w:noProof/>
          <w:sz w:val="24"/>
          <w:szCs w:val="24"/>
        </w:rPr>
        <w:t>9</w:t>
      </w:r>
      <w:r w:rsidRPr="00674CCA">
        <w:rPr>
          <w:rFonts w:ascii="Cambria" w:hAnsi="Cambria" w:cs="Times New Roman"/>
          <w:noProof/>
          <w:sz w:val="24"/>
          <w:szCs w:val="24"/>
        </w:rPr>
        <w:t>(01), 841–846. http://dx.doi.org/10.29040/jiei.v9i1.8509</w:t>
      </w:r>
    </w:p>
    <w:p w14:paraId="54720064" w14:textId="77777777" w:rsidR="00674CCA" w:rsidRPr="00674CCA" w:rsidRDefault="00674CCA" w:rsidP="00674CCA">
      <w:pPr>
        <w:widowControl w:val="0"/>
        <w:autoSpaceDE w:val="0"/>
        <w:autoSpaceDN w:val="0"/>
        <w:adjustRightInd w:val="0"/>
        <w:spacing w:after="0" w:line="276" w:lineRule="auto"/>
        <w:ind w:left="480" w:hanging="480"/>
        <w:jc w:val="both"/>
        <w:rPr>
          <w:rFonts w:ascii="Cambria" w:hAnsi="Cambria" w:cs="Times New Roman"/>
          <w:noProof/>
          <w:sz w:val="24"/>
          <w:szCs w:val="24"/>
        </w:rPr>
      </w:pPr>
      <w:r w:rsidRPr="00674CCA">
        <w:rPr>
          <w:rFonts w:ascii="Cambria" w:hAnsi="Cambria" w:cs="Times New Roman"/>
          <w:noProof/>
          <w:sz w:val="24"/>
          <w:szCs w:val="24"/>
        </w:rPr>
        <w:t xml:space="preserve">Di, B., Perpajakan, B., &amp; Kemandirian, A. (2021). </w:t>
      </w:r>
      <w:r w:rsidRPr="00674CCA">
        <w:rPr>
          <w:rFonts w:ascii="Cambria" w:hAnsi="Cambria" w:cs="Times New Roman"/>
          <w:i/>
          <w:iCs/>
          <w:noProof/>
          <w:sz w:val="24"/>
          <w:szCs w:val="24"/>
        </w:rPr>
        <w:t>PENGETAHUAN PAJAK, PERSEPSI MAHASISWA Terhadap MINAT MAHASISWA BERKARIR DI BIDANG PERPAJAKAN: ASAS KEMANDIRIAN SEBAGAI VARIABEL MODERASI</w:t>
      </w:r>
      <w:r w:rsidRPr="00674CCA">
        <w:rPr>
          <w:rFonts w:ascii="Cambria" w:hAnsi="Cambria" w:cs="Times New Roman"/>
          <w:noProof/>
          <w:sz w:val="24"/>
          <w:szCs w:val="24"/>
        </w:rPr>
        <w:t xml:space="preserve">. </w:t>
      </w:r>
      <w:r w:rsidRPr="00674CCA">
        <w:rPr>
          <w:rFonts w:ascii="Cambria" w:hAnsi="Cambria" w:cs="Times New Roman"/>
          <w:i/>
          <w:iCs/>
          <w:noProof/>
          <w:sz w:val="24"/>
          <w:szCs w:val="24"/>
        </w:rPr>
        <w:t>Accounting 2018</w:t>
      </w:r>
      <w:r w:rsidRPr="00674CCA">
        <w:rPr>
          <w:rFonts w:ascii="Cambria" w:hAnsi="Cambria" w:cs="Times New Roman"/>
          <w:noProof/>
          <w:sz w:val="24"/>
          <w:szCs w:val="24"/>
        </w:rPr>
        <w:t>, 24–34.</w:t>
      </w:r>
    </w:p>
    <w:p w14:paraId="3485DE7C" w14:textId="77777777" w:rsidR="00674CCA" w:rsidRPr="00674CCA" w:rsidRDefault="00674CCA" w:rsidP="00674CCA">
      <w:pPr>
        <w:widowControl w:val="0"/>
        <w:autoSpaceDE w:val="0"/>
        <w:autoSpaceDN w:val="0"/>
        <w:adjustRightInd w:val="0"/>
        <w:spacing w:after="0" w:line="276" w:lineRule="auto"/>
        <w:ind w:left="480" w:hanging="480"/>
        <w:jc w:val="both"/>
        <w:rPr>
          <w:rFonts w:ascii="Cambria" w:hAnsi="Cambria" w:cs="Times New Roman"/>
          <w:noProof/>
          <w:sz w:val="24"/>
          <w:szCs w:val="24"/>
        </w:rPr>
      </w:pPr>
      <w:r w:rsidRPr="00674CCA">
        <w:rPr>
          <w:rFonts w:ascii="Cambria" w:hAnsi="Cambria" w:cs="Times New Roman"/>
          <w:noProof/>
          <w:sz w:val="24"/>
          <w:szCs w:val="24"/>
        </w:rPr>
        <w:t xml:space="preserve">Fernos, J., &amp; Alfadino, M. (2021). Pengaruh Manfaat, Kepercayaan, Dan Kemudahan Penggunaan Terhadap Minat Nasabah Menggunakan Layanan Mobile Banking Pada Pt. Bank Pembangunan Daerah Sumatera Barat Cabang Koto Baru, Dharmasraya. </w:t>
      </w:r>
      <w:r w:rsidRPr="00674CCA">
        <w:rPr>
          <w:rFonts w:ascii="Cambria" w:hAnsi="Cambria" w:cs="Times New Roman"/>
          <w:i/>
          <w:iCs/>
          <w:noProof/>
          <w:sz w:val="24"/>
          <w:szCs w:val="24"/>
        </w:rPr>
        <w:t>Jurnal Manajemen Universitas Bung Hatta</w:t>
      </w:r>
      <w:r w:rsidRPr="00674CCA">
        <w:rPr>
          <w:rFonts w:ascii="Cambria" w:hAnsi="Cambria" w:cs="Times New Roman"/>
          <w:noProof/>
          <w:sz w:val="24"/>
          <w:szCs w:val="24"/>
        </w:rPr>
        <w:t xml:space="preserve">, </w:t>
      </w:r>
      <w:r w:rsidRPr="00674CCA">
        <w:rPr>
          <w:rFonts w:ascii="Cambria" w:hAnsi="Cambria" w:cs="Times New Roman"/>
          <w:i/>
          <w:iCs/>
          <w:noProof/>
          <w:sz w:val="24"/>
          <w:szCs w:val="24"/>
        </w:rPr>
        <w:t>16</w:t>
      </w:r>
      <w:r w:rsidRPr="00674CCA">
        <w:rPr>
          <w:rFonts w:ascii="Cambria" w:hAnsi="Cambria" w:cs="Times New Roman"/>
          <w:noProof/>
          <w:sz w:val="24"/>
          <w:szCs w:val="24"/>
        </w:rPr>
        <w:t>(2), 115–125. https://doi.org/10.37301/jmubh.v16i2.19032</w:t>
      </w:r>
    </w:p>
    <w:p w14:paraId="0EB512F1" w14:textId="77777777" w:rsidR="00674CCA" w:rsidRPr="00674CCA" w:rsidRDefault="00674CCA" w:rsidP="00674CCA">
      <w:pPr>
        <w:widowControl w:val="0"/>
        <w:autoSpaceDE w:val="0"/>
        <w:autoSpaceDN w:val="0"/>
        <w:adjustRightInd w:val="0"/>
        <w:spacing w:after="0" w:line="276" w:lineRule="auto"/>
        <w:ind w:left="480" w:hanging="480"/>
        <w:jc w:val="both"/>
        <w:rPr>
          <w:rFonts w:ascii="Cambria" w:hAnsi="Cambria" w:cs="Times New Roman"/>
          <w:noProof/>
          <w:sz w:val="24"/>
          <w:szCs w:val="24"/>
        </w:rPr>
      </w:pPr>
      <w:r w:rsidRPr="00674CCA">
        <w:rPr>
          <w:rFonts w:ascii="Cambria" w:hAnsi="Cambria" w:cs="Times New Roman"/>
          <w:noProof/>
          <w:sz w:val="24"/>
          <w:szCs w:val="24"/>
        </w:rPr>
        <w:t xml:space="preserve">Indana afriyanti, &amp; Agus Arwani. (2022). Determinan Kepercayaan, Lingkungan Sosial, Pendapatan Dan Efikasi Keuangan Terhadap Minat Menabung di Lembaga Keuangan Syariah. </w:t>
      </w:r>
      <w:r w:rsidRPr="00674CCA">
        <w:rPr>
          <w:rFonts w:ascii="Cambria" w:hAnsi="Cambria" w:cs="Times New Roman"/>
          <w:i/>
          <w:iCs/>
          <w:noProof/>
          <w:sz w:val="24"/>
          <w:szCs w:val="24"/>
        </w:rPr>
        <w:t>JIEF : Journal of Islamic Economics and Finance</w:t>
      </w:r>
      <w:r w:rsidRPr="00674CCA">
        <w:rPr>
          <w:rFonts w:ascii="Cambria" w:hAnsi="Cambria" w:cs="Times New Roman"/>
          <w:noProof/>
          <w:sz w:val="24"/>
          <w:szCs w:val="24"/>
        </w:rPr>
        <w:t xml:space="preserve">, </w:t>
      </w:r>
      <w:r w:rsidRPr="00674CCA">
        <w:rPr>
          <w:rFonts w:ascii="Cambria" w:hAnsi="Cambria" w:cs="Times New Roman"/>
          <w:i/>
          <w:iCs/>
          <w:noProof/>
          <w:sz w:val="24"/>
          <w:szCs w:val="24"/>
        </w:rPr>
        <w:t>2</w:t>
      </w:r>
      <w:r w:rsidRPr="00674CCA">
        <w:rPr>
          <w:rFonts w:ascii="Cambria" w:hAnsi="Cambria" w:cs="Times New Roman"/>
          <w:noProof/>
          <w:sz w:val="24"/>
          <w:szCs w:val="24"/>
        </w:rPr>
        <w:t>(2), 36–50. https://doi.org/10.28918/jief.v2i2.6246</w:t>
      </w:r>
    </w:p>
    <w:p w14:paraId="53A45D80" w14:textId="77777777" w:rsidR="00674CCA" w:rsidRPr="00674CCA" w:rsidRDefault="00674CCA" w:rsidP="00674CCA">
      <w:pPr>
        <w:widowControl w:val="0"/>
        <w:autoSpaceDE w:val="0"/>
        <w:autoSpaceDN w:val="0"/>
        <w:adjustRightInd w:val="0"/>
        <w:spacing w:after="0" w:line="276" w:lineRule="auto"/>
        <w:ind w:left="480" w:hanging="480"/>
        <w:jc w:val="both"/>
        <w:rPr>
          <w:rFonts w:ascii="Cambria" w:hAnsi="Cambria" w:cs="Times New Roman"/>
          <w:noProof/>
          <w:sz w:val="24"/>
          <w:szCs w:val="24"/>
        </w:rPr>
      </w:pPr>
      <w:r w:rsidRPr="00674CCA">
        <w:rPr>
          <w:rFonts w:ascii="Cambria" w:hAnsi="Cambria" w:cs="Times New Roman"/>
          <w:noProof/>
          <w:sz w:val="24"/>
          <w:szCs w:val="24"/>
        </w:rPr>
        <w:t xml:space="preserve">Jonathan, &amp; Sarwono. (2018). </w:t>
      </w:r>
      <w:r w:rsidRPr="00674CCA">
        <w:rPr>
          <w:rFonts w:ascii="Cambria" w:hAnsi="Cambria" w:cs="Times New Roman"/>
          <w:i/>
          <w:iCs/>
          <w:noProof/>
          <w:sz w:val="24"/>
          <w:szCs w:val="24"/>
        </w:rPr>
        <w:t>Meode Penelitian Kuantitatif dan Kualitatif</w:t>
      </w:r>
      <w:r w:rsidRPr="00674CCA">
        <w:rPr>
          <w:rFonts w:ascii="Cambria" w:hAnsi="Cambria" w:cs="Times New Roman"/>
          <w:noProof/>
          <w:sz w:val="24"/>
          <w:szCs w:val="24"/>
        </w:rPr>
        <w:t>.</w:t>
      </w:r>
    </w:p>
    <w:p w14:paraId="63A3C8F2" w14:textId="77777777" w:rsidR="00674CCA" w:rsidRPr="00674CCA" w:rsidRDefault="00674CCA" w:rsidP="00674CCA">
      <w:pPr>
        <w:widowControl w:val="0"/>
        <w:autoSpaceDE w:val="0"/>
        <w:autoSpaceDN w:val="0"/>
        <w:adjustRightInd w:val="0"/>
        <w:spacing w:after="0" w:line="276" w:lineRule="auto"/>
        <w:ind w:left="480" w:hanging="480"/>
        <w:jc w:val="both"/>
        <w:rPr>
          <w:rFonts w:ascii="Cambria" w:hAnsi="Cambria" w:cs="Times New Roman"/>
          <w:noProof/>
          <w:sz w:val="24"/>
          <w:szCs w:val="24"/>
        </w:rPr>
      </w:pPr>
      <w:r w:rsidRPr="00674CCA">
        <w:rPr>
          <w:rFonts w:ascii="Cambria" w:hAnsi="Cambria" w:cs="Times New Roman"/>
          <w:noProof/>
          <w:sz w:val="24"/>
          <w:szCs w:val="24"/>
        </w:rPr>
        <w:t xml:space="preserve">Juliana, &amp; Viola Syukrina E Janrosl. (2023). Faktor-Faktor Yang Mempengaruhi Minat Mahasiswa Program Akuntansi Untuk Berkarir Sebagai Konsultan Pajak. </w:t>
      </w:r>
      <w:r w:rsidRPr="00674CCA">
        <w:rPr>
          <w:rFonts w:ascii="Cambria" w:hAnsi="Cambria" w:cs="Times New Roman"/>
          <w:i/>
          <w:iCs/>
          <w:noProof/>
          <w:sz w:val="24"/>
          <w:szCs w:val="24"/>
        </w:rPr>
        <w:t>ECo-Buss</w:t>
      </w:r>
      <w:r w:rsidRPr="00674CCA">
        <w:rPr>
          <w:rFonts w:ascii="Cambria" w:hAnsi="Cambria" w:cs="Times New Roman"/>
          <w:noProof/>
          <w:sz w:val="24"/>
          <w:szCs w:val="24"/>
        </w:rPr>
        <w:t xml:space="preserve">, </w:t>
      </w:r>
      <w:r w:rsidRPr="00674CCA">
        <w:rPr>
          <w:rFonts w:ascii="Cambria" w:hAnsi="Cambria" w:cs="Times New Roman"/>
          <w:i/>
          <w:iCs/>
          <w:noProof/>
          <w:sz w:val="24"/>
          <w:szCs w:val="24"/>
        </w:rPr>
        <w:lastRenderedPageBreak/>
        <w:t>5</w:t>
      </w:r>
      <w:r w:rsidRPr="00674CCA">
        <w:rPr>
          <w:rFonts w:ascii="Cambria" w:hAnsi="Cambria" w:cs="Times New Roman"/>
          <w:noProof/>
          <w:sz w:val="24"/>
          <w:szCs w:val="24"/>
        </w:rPr>
        <w:t>(3), 921–934. https://doi.org/10.32877/eb.v5i3.652</w:t>
      </w:r>
    </w:p>
    <w:p w14:paraId="1D60D6C4" w14:textId="77777777" w:rsidR="00674CCA" w:rsidRPr="00674CCA" w:rsidRDefault="00674CCA" w:rsidP="00674CCA">
      <w:pPr>
        <w:widowControl w:val="0"/>
        <w:autoSpaceDE w:val="0"/>
        <w:autoSpaceDN w:val="0"/>
        <w:adjustRightInd w:val="0"/>
        <w:spacing w:after="0" w:line="276" w:lineRule="auto"/>
        <w:ind w:left="480" w:hanging="480"/>
        <w:jc w:val="both"/>
        <w:rPr>
          <w:rFonts w:ascii="Cambria" w:hAnsi="Cambria" w:cs="Times New Roman"/>
          <w:noProof/>
          <w:sz w:val="24"/>
          <w:szCs w:val="24"/>
        </w:rPr>
      </w:pPr>
      <w:r w:rsidRPr="00674CCA">
        <w:rPr>
          <w:rFonts w:ascii="Cambria" w:hAnsi="Cambria" w:cs="Times New Roman"/>
          <w:noProof/>
          <w:sz w:val="24"/>
          <w:szCs w:val="24"/>
        </w:rPr>
        <w:t xml:space="preserve">Linardi, C., &amp; Nur, T. (2021). Faktor-Faktor Yang Mempengaruhi Minat Mahasiswa Berdonasi Melalui Platform Crowdfunding. </w:t>
      </w:r>
      <w:r w:rsidRPr="00674CCA">
        <w:rPr>
          <w:rFonts w:ascii="Cambria" w:hAnsi="Cambria" w:cs="Times New Roman"/>
          <w:i/>
          <w:iCs/>
          <w:noProof/>
          <w:sz w:val="24"/>
          <w:szCs w:val="24"/>
        </w:rPr>
        <w:t>INOBIS: Jurnal Inovasi Bisnis Dan Manajemen Indonesia</w:t>
      </w:r>
      <w:r w:rsidRPr="00674CCA">
        <w:rPr>
          <w:rFonts w:ascii="Cambria" w:hAnsi="Cambria" w:cs="Times New Roman"/>
          <w:noProof/>
          <w:sz w:val="24"/>
          <w:szCs w:val="24"/>
        </w:rPr>
        <w:t xml:space="preserve">, </w:t>
      </w:r>
      <w:r w:rsidRPr="00674CCA">
        <w:rPr>
          <w:rFonts w:ascii="Cambria" w:hAnsi="Cambria" w:cs="Times New Roman"/>
          <w:i/>
          <w:iCs/>
          <w:noProof/>
          <w:sz w:val="24"/>
          <w:szCs w:val="24"/>
        </w:rPr>
        <w:t>4</w:t>
      </w:r>
      <w:r w:rsidRPr="00674CCA">
        <w:rPr>
          <w:rFonts w:ascii="Cambria" w:hAnsi="Cambria" w:cs="Times New Roman"/>
          <w:noProof/>
          <w:sz w:val="24"/>
          <w:szCs w:val="24"/>
        </w:rPr>
        <w:t>(2), 249–267. https://doi.org/10.31842/jurnalinobis.v4i2.181</w:t>
      </w:r>
    </w:p>
    <w:p w14:paraId="271BD16E" w14:textId="77777777" w:rsidR="00674CCA" w:rsidRPr="00674CCA" w:rsidRDefault="00674CCA" w:rsidP="00674CCA">
      <w:pPr>
        <w:widowControl w:val="0"/>
        <w:autoSpaceDE w:val="0"/>
        <w:autoSpaceDN w:val="0"/>
        <w:adjustRightInd w:val="0"/>
        <w:spacing w:after="0" w:line="276" w:lineRule="auto"/>
        <w:ind w:left="480" w:hanging="480"/>
        <w:jc w:val="both"/>
        <w:rPr>
          <w:rFonts w:ascii="Cambria" w:hAnsi="Cambria" w:cs="Times New Roman"/>
          <w:noProof/>
          <w:sz w:val="24"/>
          <w:szCs w:val="24"/>
        </w:rPr>
      </w:pPr>
      <w:r w:rsidRPr="00674CCA">
        <w:rPr>
          <w:rFonts w:ascii="Cambria" w:hAnsi="Cambria" w:cs="Times New Roman"/>
          <w:noProof/>
          <w:sz w:val="24"/>
          <w:szCs w:val="24"/>
        </w:rPr>
        <w:t xml:space="preserve">Malik, A., Ahmad Syahrizal, &amp; Anisah. (2021). Pengaruh Promosi, Pengetahuan Dan KepercayaanTerhadap Minat Menabung Di Bank Syariah IndonesiaKcp Singkut Pada Masyarakat Desa Pelawan Jaya. </w:t>
      </w:r>
      <w:r w:rsidRPr="00674CCA">
        <w:rPr>
          <w:rFonts w:ascii="Cambria" w:hAnsi="Cambria" w:cs="Times New Roman"/>
          <w:i/>
          <w:iCs/>
          <w:noProof/>
          <w:sz w:val="24"/>
          <w:szCs w:val="24"/>
        </w:rPr>
        <w:t>Jurnal Margin</w:t>
      </w:r>
      <w:r w:rsidRPr="00674CCA">
        <w:rPr>
          <w:rFonts w:ascii="Cambria" w:hAnsi="Cambria" w:cs="Times New Roman"/>
          <w:noProof/>
          <w:sz w:val="24"/>
          <w:szCs w:val="24"/>
        </w:rPr>
        <w:t xml:space="preserve">, </w:t>
      </w:r>
      <w:r w:rsidRPr="00674CCA">
        <w:rPr>
          <w:rFonts w:ascii="Cambria" w:hAnsi="Cambria" w:cs="Times New Roman"/>
          <w:i/>
          <w:iCs/>
          <w:noProof/>
          <w:sz w:val="24"/>
          <w:szCs w:val="24"/>
        </w:rPr>
        <w:t>1</w:t>
      </w:r>
      <w:r w:rsidRPr="00674CCA">
        <w:rPr>
          <w:rFonts w:ascii="Cambria" w:hAnsi="Cambria" w:cs="Times New Roman"/>
          <w:noProof/>
          <w:sz w:val="24"/>
          <w:szCs w:val="24"/>
        </w:rPr>
        <w:t>(1), 28–43.</w:t>
      </w:r>
    </w:p>
    <w:p w14:paraId="713E3396" w14:textId="77777777" w:rsidR="00674CCA" w:rsidRPr="00674CCA" w:rsidRDefault="00674CCA" w:rsidP="00674CCA">
      <w:pPr>
        <w:widowControl w:val="0"/>
        <w:autoSpaceDE w:val="0"/>
        <w:autoSpaceDN w:val="0"/>
        <w:adjustRightInd w:val="0"/>
        <w:spacing w:after="0" w:line="276" w:lineRule="auto"/>
        <w:ind w:left="480" w:hanging="480"/>
        <w:jc w:val="both"/>
        <w:rPr>
          <w:rFonts w:ascii="Cambria" w:hAnsi="Cambria" w:cs="Times New Roman"/>
          <w:noProof/>
          <w:sz w:val="24"/>
          <w:szCs w:val="24"/>
        </w:rPr>
      </w:pPr>
      <w:r w:rsidRPr="00674CCA">
        <w:rPr>
          <w:rFonts w:ascii="Cambria" w:hAnsi="Cambria" w:cs="Times New Roman"/>
          <w:noProof/>
          <w:sz w:val="24"/>
          <w:szCs w:val="24"/>
        </w:rPr>
        <w:t xml:space="preserve">Maulana, A. (2021). Pengaruh Media Sosial Dan Kepercayaan Terhadap Minat Beli Sepatu Vans (Studi Pada Mahasiswa Fakultas Ekonomi Universitas Singaperbangsa Karawang). </w:t>
      </w:r>
      <w:r w:rsidRPr="00674CCA">
        <w:rPr>
          <w:rFonts w:ascii="Cambria" w:hAnsi="Cambria" w:cs="Times New Roman"/>
          <w:i/>
          <w:iCs/>
          <w:noProof/>
          <w:sz w:val="24"/>
          <w:szCs w:val="24"/>
        </w:rPr>
        <w:t>Jurnal Ilmiah Mahasiswa Ekonomi Manajemen TERAKREDITASI SINTA</w:t>
      </w:r>
      <w:r w:rsidRPr="00674CCA">
        <w:rPr>
          <w:rFonts w:ascii="Cambria" w:hAnsi="Cambria" w:cs="Times New Roman"/>
          <w:noProof/>
          <w:sz w:val="24"/>
          <w:szCs w:val="24"/>
        </w:rPr>
        <w:t xml:space="preserve">, </w:t>
      </w:r>
      <w:r w:rsidRPr="00674CCA">
        <w:rPr>
          <w:rFonts w:ascii="Cambria" w:hAnsi="Cambria" w:cs="Times New Roman"/>
          <w:i/>
          <w:iCs/>
          <w:noProof/>
          <w:sz w:val="24"/>
          <w:szCs w:val="24"/>
        </w:rPr>
        <w:t>4</w:t>
      </w:r>
      <w:r w:rsidRPr="00674CCA">
        <w:rPr>
          <w:rFonts w:ascii="Cambria" w:hAnsi="Cambria" w:cs="Times New Roman"/>
          <w:noProof/>
          <w:sz w:val="24"/>
          <w:szCs w:val="24"/>
        </w:rPr>
        <w:t>(3), 605–619. http:jim.unsyiah.ac.id/ekm</w:t>
      </w:r>
    </w:p>
    <w:p w14:paraId="7A4DFE65" w14:textId="77777777" w:rsidR="00674CCA" w:rsidRPr="00674CCA" w:rsidRDefault="00674CCA" w:rsidP="00674CCA">
      <w:pPr>
        <w:widowControl w:val="0"/>
        <w:autoSpaceDE w:val="0"/>
        <w:autoSpaceDN w:val="0"/>
        <w:adjustRightInd w:val="0"/>
        <w:spacing w:after="0" w:line="276" w:lineRule="auto"/>
        <w:ind w:left="480" w:hanging="480"/>
        <w:jc w:val="both"/>
        <w:rPr>
          <w:rFonts w:ascii="Cambria" w:hAnsi="Cambria" w:cs="Times New Roman"/>
          <w:noProof/>
          <w:sz w:val="24"/>
          <w:szCs w:val="24"/>
        </w:rPr>
      </w:pPr>
      <w:r w:rsidRPr="00674CCA">
        <w:rPr>
          <w:rFonts w:ascii="Cambria" w:hAnsi="Cambria" w:cs="Times New Roman"/>
          <w:noProof/>
          <w:sz w:val="24"/>
          <w:szCs w:val="24"/>
        </w:rPr>
        <w:t xml:space="preserve">Nurparliana, L., Astuti, T., &amp; Miswan. (2022). Pengaruh Pengetahuan, Kepercayaan, Dan Kemudahan Penggunaan E-Channel Terhadap Minat Bertransaksi Ulang Secara Online ( Studi Kasus Pada Nasabah Btn Kc Kelapa Gading Square ). </w:t>
      </w:r>
      <w:r w:rsidRPr="00674CCA">
        <w:rPr>
          <w:rFonts w:ascii="Cambria" w:hAnsi="Cambria" w:cs="Times New Roman"/>
          <w:i/>
          <w:iCs/>
          <w:noProof/>
          <w:sz w:val="24"/>
          <w:szCs w:val="24"/>
        </w:rPr>
        <w:t>Seminar Nasional Pariwisata Dan Kewirausahaaan</w:t>
      </w:r>
      <w:r w:rsidRPr="00674CCA">
        <w:rPr>
          <w:rFonts w:ascii="Cambria" w:hAnsi="Cambria" w:cs="Times New Roman"/>
          <w:noProof/>
          <w:sz w:val="24"/>
          <w:szCs w:val="24"/>
        </w:rPr>
        <w:t xml:space="preserve">, </w:t>
      </w:r>
      <w:r w:rsidRPr="00674CCA">
        <w:rPr>
          <w:rFonts w:ascii="Cambria" w:hAnsi="Cambria" w:cs="Times New Roman"/>
          <w:i/>
          <w:iCs/>
          <w:noProof/>
          <w:sz w:val="24"/>
          <w:szCs w:val="24"/>
        </w:rPr>
        <w:t>1</w:t>
      </w:r>
      <w:r w:rsidRPr="00674CCA">
        <w:rPr>
          <w:rFonts w:ascii="Cambria" w:hAnsi="Cambria" w:cs="Times New Roman"/>
          <w:noProof/>
          <w:sz w:val="24"/>
          <w:szCs w:val="24"/>
        </w:rPr>
        <w:t>, 310–322.</w:t>
      </w:r>
    </w:p>
    <w:p w14:paraId="1D25611B" w14:textId="77777777" w:rsidR="00674CCA" w:rsidRPr="00674CCA" w:rsidRDefault="00674CCA" w:rsidP="00674CCA">
      <w:pPr>
        <w:widowControl w:val="0"/>
        <w:autoSpaceDE w:val="0"/>
        <w:autoSpaceDN w:val="0"/>
        <w:adjustRightInd w:val="0"/>
        <w:spacing w:after="0" w:line="276" w:lineRule="auto"/>
        <w:ind w:left="480" w:hanging="480"/>
        <w:jc w:val="both"/>
        <w:rPr>
          <w:rFonts w:ascii="Cambria" w:hAnsi="Cambria" w:cs="Times New Roman"/>
          <w:noProof/>
          <w:sz w:val="24"/>
          <w:szCs w:val="24"/>
        </w:rPr>
      </w:pPr>
      <w:r w:rsidRPr="00674CCA">
        <w:rPr>
          <w:rFonts w:ascii="Cambria" w:hAnsi="Cambria" w:cs="Times New Roman"/>
          <w:noProof/>
          <w:sz w:val="24"/>
          <w:szCs w:val="24"/>
        </w:rPr>
        <w:t xml:space="preserve">Soegiyono. (2018). Metode Penelitian Kuantitatif, Kualitatif dan R&amp;D. In </w:t>
      </w:r>
      <w:r w:rsidRPr="00674CCA">
        <w:rPr>
          <w:rFonts w:ascii="Cambria" w:hAnsi="Cambria" w:cs="Times New Roman"/>
          <w:i/>
          <w:iCs/>
          <w:noProof/>
          <w:sz w:val="24"/>
          <w:szCs w:val="24"/>
        </w:rPr>
        <w:t>Bandung: Alfabeta</w:t>
      </w:r>
      <w:r w:rsidRPr="00674CCA">
        <w:rPr>
          <w:rFonts w:ascii="Cambria" w:hAnsi="Cambria" w:cs="Times New Roman"/>
          <w:noProof/>
          <w:sz w:val="24"/>
          <w:szCs w:val="24"/>
        </w:rPr>
        <w:t>.</w:t>
      </w:r>
    </w:p>
    <w:p w14:paraId="3E0AF863" w14:textId="77777777" w:rsidR="00674CCA" w:rsidRPr="00674CCA" w:rsidRDefault="00674CCA" w:rsidP="00674CCA">
      <w:pPr>
        <w:widowControl w:val="0"/>
        <w:autoSpaceDE w:val="0"/>
        <w:autoSpaceDN w:val="0"/>
        <w:adjustRightInd w:val="0"/>
        <w:spacing w:after="0" w:line="276" w:lineRule="auto"/>
        <w:ind w:left="480" w:hanging="480"/>
        <w:jc w:val="both"/>
        <w:rPr>
          <w:rFonts w:ascii="Cambria" w:hAnsi="Cambria" w:cs="Times New Roman"/>
          <w:noProof/>
          <w:sz w:val="24"/>
          <w:szCs w:val="24"/>
        </w:rPr>
      </w:pPr>
      <w:r w:rsidRPr="00674CCA">
        <w:rPr>
          <w:rFonts w:ascii="Cambria" w:hAnsi="Cambria" w:cs="Times New Roman"/>
          <w:noProof/>
          <w:sz w:val="24"/>
          <w:szCs w:val="24"/>
        </w:rPr>
        <w:t xml:space="preserve">Sugiyono. (2017). Metode Penelitian Kuantitatif, dan Kualitatif jilid 2. In </w:t>
      </w:r>
      <w:r w:rsidRPr="00674CCA">
        <w:rPr>
          <w:rFonts w:ascii="Cambria" w:hAnsi="Cambria" w:cs="Times New Roman"/>
          <w:i/>
          <w:iCs/>
          <w:noProof/>
          <w:sz w:val="24"/>
          <w:szCs w:val="24"/>
        </w:rPr>
        <w:t>Bandung: Alfabeta</w:t>
      </w:r>
      <w:r w:rsidRPr="00674CCA">
        <w:rPr>
          <w:rFonts w:ascii="Cambria" w:hAnsi="Cambria" w:cs="Times New Roman"/>
          <w:noProof/>
          <w:sz w:val="24"/>
          <w:szCs w:val="24"/>
        </w:rPr>
        <w:t>.</w:t>
      </w:r>
    </w:p>
    <w:p w14:paraId="45E7D4EB" w14:textId="77777777" w:rsidR="00674CCA" w:rsidRPr="00674CCA" w:rsidRDefault="00674CCA" w:rsidP="00674CCA">
      <w:pPr>
        <w:widowControl w:val="0"/>
        <w:autoSpaceDE w:val="0"/>
        <w:autoSpaceDN w:val="0"/>
        <w:adjustRightInd w:val="0"/>
        <w:spacing w:after="0" w:line="276" w:lineRule="auto"/>
        <w:ind w:left="480" w:hanging="480"/>
        <w:jc w:val="both"/>
        <w:rPr>
          <w:rFonts w:ascii="Cambria" w:hAnsi="Cambria"/>
          <w:noProof/>
          <w:sz w:val="24"/>
        </w:rPr>
      </w:pPr>
      <w:r w:rsidRPr="00674CCA">
        <w:rPr>
          <w:rFonts w:ascii="Cambria" w:hAnsi="Cambria" w:cs="Times New Roman"/>
          <w:noProof/>
          <w:sz w:val="24"/>
          <w:szCs w:val="24"/>
        </w:rPr>
        <w:t xml:space="preserve">Zulchayra, Z., Azharsyah, &amp; Fitria, A. (2020). Minat investasi di Pasar Modal Syariah (Studi pada mahasiswa di Banda Aceh). </w:t>
      </w:r>
      <w:r w:rsidRPr="00674CCA">
        <w:rPr>
          <w:rFonts w:ascii="Cambria" w:hAnsi="Cambria" w:cs="Times New Roman"/>
          <w:i/>
          <w:iCs/>
          <w:noProof/>
          <w:sz w:val="24"/>
          <w:szCs w:val="24"/>
        </w:rPr>
        <w:t>Jihbiz Global Journal of Islamic Banking and Finance</w:t>
      </w:r>
      <w:r w:rsidRPr="00674CCA">
        <w:rPr>
          <w:rFonts w:ascii="Cambria" w:hAnsi="Cambria" w:cs="Times New Roman"/>
          <w:noProof/>
          <w:sz w:val="24"/>
          <w:szCs w:val="24"/>
        </w:rPr>
        <w:t xml:space="preserve">, </w:t>
      </w:r>
      <w:r w:rsidRPr="00674CCA">
        <w:rPr>
          <w:rFonts w:ascii="Cambria" w:hAnsi="Cambria" w:cs="Times New Roman"/>
          <w:i/>
          <w:iCs/>
          <w:noProof/>
          <w:sz w:val="24"/>
          <w:szCs w:val="24"/>
        </w:rPr>
        <w:t>2</w:t>
      </w:r>
      <w:r w:rsidRPr="00674CCA">
        <w:rPr>
          <w:rFonts w:ascii="Cambria" w:hAnsi="Cambria" w:cs="Times New Roman"/>
          <w:noProof/>
          <w:sz w:val="24"/>
          <w:szCs w:val="24"/>
        </w:rPr>
        <w:t>(2), 138–155.</w:t>
      </w:r>
    </w:p>
    <w:p w14:paraId="548F897E" w14:textId="5FC1E61B" w:rsidR="00C338F0" w:rsidRDefault="00674CCA" w:rsidP="00674CCA">
      <w:pPr>
        <w:widowControl w:val="0"/>
        <w:spacing w:after="0" w:line="276" w:lineRule="auto"/>
        <w:ind w:left="480" w:hanging="480"/>
        <w:jc w:val="both"/>
        <w:rPr>
          <w:rFonts w:ascii="Cambria" w:eastAsia="Cambria" w:hAnsi="Cambria" w:cs="Cambria"/>
          <w:sz w:val="24"/>
          <w:szCs w:val="24"/>
        </w:rPr>
      </w:pPr>
      <w:r>
        <w:rPr>
          <w:rFonts w:ascii="Cambria" w:eastAsia="Cambria" w:hAnsi="Cambria" w:cs="Cambria"/>
          <w:sz w:val="24"/>
          <w:szCs w:val="24"/>
        </w:rPr>
        <w:fldChar w:fldCharType="end"/>
      </w:r>
    </w:p>
    <w:p w14:paraId="219A88B5" w14:textId="77777777" w:rsidR="00CD78D3" w:rsidRDefault="00CD78D3">
      <w:pPr>
        <w:widowControl w:val="0"/>
        <w:spacing w:after="0" w:line="240" w:lineRule="auto"/>
        <w:ind w:left="480" w:hanging="480"/>
        <w:jc w:val="both"/>
        <w:rPr>
          <w:rFonts w:ascii="Cambria" w:eastAsia="Cambria" w:hAnsi="Cambria" w:cs="Cambria"/>
          <w:sz w:val="24"/>
          <w:szCs w:val="24"/>
        </w:rPr>
      </w:pPr>
    </w:p>
    <w:p w14:paraId="407B4ABD" w14:textId="77777777" w:rsidR="00CD78D3" w:rsidRDefault="00CD78D3">
      <w:pPr>
        <w:widowControl w:val="0"/>
        <w:spacing w:after="0" w:line="240" w:lineRule="auto"/>
        <w:ind w:left="480" w:hanging="480"/>
        <w:jc w:val="both"/>
        <w:rPr>
          <w:rFonts w:ascii="Cambria" w:eastAsia="Cambria" w:hAnsi="Cambria" w:cs="Cambria"/>
          <w:sz w:val="24"/>
          <w:szCs w:val="24"/>
        </w:rPr>
      </w:pPr>
    </w:p>
    <w:p w14:paraId="54EF1D56" w14:textId="77777777" w:rsidR="00CD78D3" w:rsidRDefault="00CD78D3">
      <w:pPr>
        <w:widowControl w:val="0"/>
        <w:spacing w:after="0" w:line="240" w:lineRule="auto"/>
        <w:ind w:left="480" w:hanging="480"/>
        <w:jc w:val="both"/>
        <w:rPr>
          <w:rFonts w:ascii="Cambria" w:eastAsia="Cambria" w:hAnsi="Cambria" w:cs="Cambria"/>
          <w:sz w:val="24"/>
          <w:szCs w:val="24"/>
        </w:rPr>
      </w:pPr>
    </w:p>
    <w:p w14:paraId="74453C90" w14:textId="77777777" w:rsidR="00CD78D3" w:rsidRDefault="00CD78D3">
      <w:pPr>
        <w:widowControl w:val="0"/>
        <w:spacing w:after="0" w:line="240" w:lineRule="auto"/>
        <w:ind w:left="480" w:hanging="480"/>
        <w:jc w:val="both"/>
        <w:rPr>
          <w:rFonts w:ascii="Cambria" w:eastAsia="Cambria" w:hAnsi="Cambria" w:cs="Cambria"/>
          <w:sz w:val="24"/>
          <w:szCs w:val="24"/>
        </w:rPr>
      </w:pPr>
    </w:p>
    <w:p w14:paraId="1F3155BA" w14:textId="77777777" w:rsidR="00CD78D3" w:rsidRDefault="00CD78D3">
      <w:pPr>
        <w:widowControl w:val="0"/>
        <w:spacing w:after="0" w:line="240" w:lineRule="auto"/>
        <w:ind w:left="480" w:hanging="480"/>
        <w:jc w:val="both"/>
        <w:rPr>
          <w:rFonts w:ascii="Cambria" w:eastAsia="Cambria" w:hAnsi="Cambria" w:cs="Cambria"/>
          <w:sz w:val="24"/>
          <w:szCs w:val="24"/>
        </w:rPr>
      </w:pPr>
    </w:p>
    <w:sectPr w:rsidR="00CD78D3" w:rsidSect="00085D9F">
      <w:footerReference w:type="even" r:id="rId9"/>
      <w:footerReference w:type="default" r:id="rId10"/>
      <w:headerReference w:type="first" r:id="rId11"/>
      <w:footerReference w:type="first" r:id="rId12"/>
      <w:pgSz w:w="11906" w:h="16838"/>
      <w:pgMar w:top="1418" w:right="1304" w:bottom="1304" w:left="1304"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E8C697" w14:textId="77777777" w:rsidR="00D64BB1" w:rsidRDefault="00D64BB1">
      <w:pPr>
        <w:spacing w:after="0" w:line="240" w:lineRule="auto"/>
      </w:pPr>
      <w:r>
        <w:separator/>
      </w:r>
    </w:p>
  </w:endnote>
  <w:endnote w:type="continuationSeparator" w:id="0">
    <w:p w14:paraId="5B9D59F0" w14:textId="77777777" w:rsidR="00D64BB1" w:rsidRDefault="00D64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2DD0D" w14:textId="77777777" w:rsidR="00A27BA3" w:rsidRDefault="00DA6B6F">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085D9F">
      <w:rPr>
        <w:rFonts w:ascii="Cambria" w:eastAsia="Cambria" w:hAnsi="Cambria" w:cs="Cambria"/>
        <w:b/>
        <w:noProof/>
        <w:color w:val="000000"/>
        <w:sz w:val="20"/>
        <w:szCs w:val="20"/>
      </w:rPr>
      <w:t>8</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C8465" w14:textId="77777777" w:rsidR="00A27BA3" w:rsidRDefault="00DA6B6F">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085D9F">
      <w:rPr>
        <w:rFonts w:ascii="Cambria" w:eastAsia="Cambria" w:hAnsi="Cambria" w:cs="Cambria"/>
        <w:b/>
        <w:noProof/>
        <w:color w:val="000000"/>
        <w:sz w:val="20"/>
        <w:szCs w:val="20"/>
      </w:rPr>
      <w:t>9</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90AD9" w14:textId="77777777" w:rsidR="00A27BA3" w:rsidRDefault="00DA6B6F">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085D9F">
      <w:rPr>
        <w:rFonts w:ascii="Cambria" w:eastAsia="Cambria" w:hAnsi="Cambria" w:cs="Cambria"/>
        <w:b/>
        <w:noProof/>
        <w:color w:val="000000"/>
        <w:sz w:val="20"/>
        <w:szCs w:val="20"/>
      </w:rPr>
      <w:t>1</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99B3B4" w14:textId="77777777" w:rsidR="00D64BB1" w:rsidRDefault="00D64BB1">
      <w:pPr>
        <w:spacing w:after="0" w:line="240" w:lineRule="auto"/>
      </w:pPr>
      <w:r>
        <w:separator/>
      </w:r>
    </w:p>
  </w:footnote>
  <w:footnote w:type="continuationSeparator" w:id="0">
    <w:p w14:paraId="1A7726CE" w14:textId="77777777" w:rsidR="00D64BB1" w:rsidRDefault="00D64B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F6B8C" w14:textId="77777777"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Pr>
        <w:noProof/>
        <w:lang w:eastAsia="en-US"/>
      </w:rPr>
      <w:drawing>
        <wp:anchor distT="0" distB="0" distL="114300" distR="114300" simplePos="0" relativeHeight="251659264" behindDoc="0" locked="0" layoutInCell="1" allowOverlap="1" wp14:anchorId="09C0C12E" wp14:editId="42BFC1A0">
          <wp:simplePos x="0" y="0"/>
          <wp:positionH relativeFrom="column">
            <wp:posOffset>3940468</wp:posOffset>
          </wp:positionH>
          <wp:positionV relativeFrom="paragraph">
            <wp:posOffset>89535</wp:posOffset>
          </wp:positionV>
          <wp:extent cx="1630680" cy="407670"/>
          <wp:effectExtent l="0" t="0" r="7620" b="0"/>
          <wp:wrapTopAndBottom/>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(Jurnal Manajemen dan Akuntansi Indonesia)</w:t>
      </w:r>
    </w:hyperlink>
  </w:p>
  <w:p w14:paraId="55CD8C83" w14:textId="77777777"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Jilid 1 No.1 | FEBRUARI 2020</w:t>
    </w:r>
  </w:p>
  <w:p w14:paraId="49944F56" w14:textId="77777777" w:rsidR="00CD78D3" w:rsidRPr="00CD78D3" w:rsidRDefault="00D64BB1" w:rsidP="00CD78D3">
    <w:pPr>
      <w:widowControl w:val="0"/>
      <w:spacing w:after="0" w:line="240" w:lineRule="auto"/>
      <w:ind w:left="480" w:hanging="480"/>
      <w:jc w:val="both"/>
      <w:rPr>
        <w:rStyle w:val="Hyperlink"/>
        <w:rFonts w:ascii="Open Sans" w:hAnsi="Open Sans" w:cs="Open Sans"/>
        <w:b/>
        <w:bCs/>
        <w:color w:val="0D355E"/>
        <w:sz w:val="19"/>
        <w:szCs w:val="19"/>
        <w:u w:val="none"/>
        <w:shd w:val="clear" w:color="auto" w:fill="FFFFFF"/>
      </w:rPr>
    </w:pPr>
    <w:hyperlink r:id="rId3" w:history="1">
      <w:r w:rsidR="00CD78D3" w:rsidRPr="00CD78D3">
        <w:rPr>
          <w:rStyle w:val="Hyperlink"/>
          <w:rFonts w:ascii="Open Sans" w:hAnsi="Open Sans" w:cs="Open Sans"/>
          <w:b/>
          <w:bCs/>
          <w:color w:val="0D355E"/>
          <w:sz w:val="19"/>
          <w:szCs w:val="19"/>
          <w:u w:val="none"/>
          <w:shd w:val="clear" w:color="auto" w:fill="FFFFFF"/>
        </w:rPr>
        <w:t>https://ejournal.almaata.ac.id/index.php/IJMA/index</w:t>
      </w:r>
    </w:hyperlink>
  </w:p>
  <w:p w14:paraId="59B47699" w14:textId="77777777" w:rsidR="00A27BA3" w:rsidRDefault="00A27BA3" w:rsidP="00CD78D3">
    <w:pPr>
      <w:pBdr>
        <w:top w:val="nil"/>
        <w:left w:val="nil"/>
        <w:bottom w:val="nil"/>
        <w:right w:val="nil"/>
        <w:between w:val="nil"/>
      </w:pBdr>
      <w:tabs>
        <w:tab w:val="center" w:pos="4513"/>
        <w:tab w:val="right" w:pos="9026"/>
      </w:tabs>
      <w:spacing w:after="0" w:line="240" w:lineRule="auto"/>
      <w:jc w:val="right"/>
      <w:rPr>
        <w:rFonts w:ascii="Cambria" w:eastAsia="Cambria" w:hAnsi="Cambria" w:cs="Cambria"/>
        <w:i/>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BA3"/>
    <w:rsid w:val="00085D9F"/>
    <w:rsid w:val="000B404F"/>
    <w:rsid w:val="00336E57"/>
    <w:rsid w:val="00403C52"/>
    <w:rsid w:val="00674CCA"/>
    <w:rsid w:val="006E6551"/>
    <w:rsid w:val="008D3DE9"/>
    <w:rsid w:val="0097372A"/>
    <w:rsid w:val="009909EB"/>
    <w:rsid w:val="009E15A7"/>
    <w:rsid w:val="00A27BA3"/>
    <w:rsid w:val="00AB2D34"/>
    <w:rsid w:val="00AF4EBA"/>
    <w:rsid w:val="00C338F0"/>
    <w:rsid w:val="00CD78D3"/>
    <w:rsid w:val="00D64BB1"/>
    <w:rsid w:val="00DA6B6F"/>
    <w:rsid w:val="00DE0542"/>
    <w:rsid w:val="00FE392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14FBC"/>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customStyle="1"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5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5A77EA4-28C2-437A-B96D-72AE8BCC0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11721</Words>
  <Characters>66815</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Naufal</cp:lastModifiedBy>
  <cp:revision>2</cp:revision>
  <dcterms:created xsi:type="dcterms:W3CDTF">2023-07-30T05:31:00Z</dcterms:created>
  <dcterms:modified xsi:type="dcterms:W3CDTF">2023-07-30T05:31:00Z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1e42e58f-0e59-333b-9703-1320693b6772</vt:lpwstr>
  </property>
  <property fmtid="{D5CDD505-2E9C-101B-9397-08002B2CF9AE}" pid="25" name="Mendeley Citation Style_1">
    <vt:lpwstr>http://www.zotero.org/styles/apa</vt:lpwstr>
  </property>
</Properties>
</file>